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C5FC" w14:textId="5E595A34" w:rsidR="00B50D8D" w:rsidRPr="00341720" w:rsidRDefault="00282B56" w:rsidP="00341720">
      <w:pPr>
        <w:pStyle w:val="CDIDOIinformation"/>
      </w:pPr>
      <w:fldSimple w:instr=" DOCPROPERTY  Year  \* MERGEFORMAT ">
        <w:r w:rsidR="00DE4D86">
          <w:t>2025</w:t>
        </w:r>
      </w:fldSimple>
      <w:r w:rsidR="00A623E8" w:rsidRPr="00341720">
        <w:t xml:space="preserve"> • </w:t>
      </w:r>
      <w:r w:rsidR="00B50D8D" w:rsidRPr="00341720">
        <w:t xml:space="preserve">Volume </w:t>
      </w:r>
      <w:fldSimple w:instr=" DOCPROPERTY  Vol  \* MERGEFORMAT ">
        <w:r w:rsidR="00DE4D86">
          <w:t>49</w:t>
        </w:r>
      </w:fldSimple>
      <w:r w:rsidR="00725C33" w:rsidRPr="00341720">
        <w:t xml:space="preserve"> </w:t>
      </w:r>
      <w:r w:rsidR="008E3F81" w:rsidRPr="00341720">
        <w:t>•</w:t>
      </w:r>
      <w:r w:rsidR="00725C33" w:rsidRPr="00341720">
        <w:t xml:space="preserve"> </w:t>
      </w:r>
      <w:fldSimple w:instr=" DOCPROPERTY  DOI  \* MERGEFORMAT ">
        <w:r w:rsidR="00F42B7C">
          <w:t>https://doi.org/10.33321/cdi.2025.49.031</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F42B7C">
          <w:t>19/05/2025</w:t>
        </w:r>
      </w:fldSimple>
    </w:p>
    <w:p w14:paraId="47C4265E" w14:textId="21CBE755" w:rsidR="006B16A5" w:rsidRPr="006B16A5" w:rsidRDefault="00F42B7C" w:rsidP="001020EE">
      <w:pPr>
        <w:pStyle w:val="Title"/>
        <w:divId w:val="935526654"/>
      </w:pPr>
      <w:r w:rsidRPr="00F42B7C">
        <w:t>Acute post-streptococcal glomerulonephritis (APSGN) in the Torres Strait and Cape York: surveillance insights pre- and post- mandatory notification</w:t>
      </w:r>
    </w:p>
    <w:p w14:paraId="4B00CB79" w14:textId="1D3E922D" w:rsidR="007A33B9" w:rsidRPr="0037146D" w:rsidRDefault="00F42B7C" w:rsidP="0037146D">
      <w:pPr>
        <w:pStyle w:val="Subtitle"/>
        <w:divId w:val="935526654"/>
      </w:pPr>
      <w:r w:rsidRPr="00F42B7C">
        <w:t>Eliza Cropp, Caroline Taunton, Malcolm McDonald, Nancy Lui-Gamia, Debra Nona, Allison</w:t>
      </w:r>
      <w:r>
        <w:t> </w:t>
      </w:r>
      <w:r w:rsidRPr="00F42B7C">
        <w:t>Hempenstall</w:t>
      </w:r>
    </w:p>
    <w:p w14:paraId="788ACD4D" w14:textId="77777777" w:rsidR="0037146D" w:rsidRDefault="0037146D" w:rsidP="0037146D">
      <w:pPr>
        <w:pStyle w:val="Heading1"/>
        <w:divId w:val="935526654"/>
        <w:rPr>
          <w:lang w:val="en-GB"/>
        </w:rPr>
      </w:pPr>
      <w:r>
        <w:rPr>
          <w:lang w:val="en-GB"/>
        </w:rPr>
        <w:t>Abstract</w:t>
      </w:r>
    </w:p>
    <w:p w14:paraId="33DEB90B" w14:textId="77777777" w:rsidR="00F42B7C" w:rsidRPr="00F42B7C" w:rsidRDefault="00F42B7C" w:rsidP="00F42B7C">
      <w:pPr>
        <w:divId w:val="935526654"/>
        <w:rPr>
          <w:lang w:val="en-GB"/>
        </w:rPr>
      </w:pPr>
      <w:r w:rsidRPr="00F42B7C">
        <w:rPr>
          <w:lang w:val="en-GB"/>
        </w:rPr>
        <w:t>Acute post-streptococcal glomerulonephritis (APSGN) is an immune-mediated kidney condition, typically affecting children. While the incidence has declined in urban Australia, APSGN remains a major concern in rural and remote communities, particularly among First Nations children. This study describes the epidemiology of APSGN in the Torres Strait and Cape York region of Far North Queensland (FNQ) over a three-year period, from January 2022 to December 2024, which spanned pre- and post-mandatory public health notification of APSGN in Queensland.</w:t>
      </w:r>
    </w:p>
    <w:p w14:paraId="026DBCA2" w14:textId="77777777" w:rsidR="00F42B7C" w:rsidRPr="00F42B7C" w:rsidRDefault="00F42B7C" w:rsidP="00F42B7C">
      <w:pPr>
        <w:divId w:val="935526654"/>
        <w:rPr>
          <w:lang w:val="en-GB"/>
        </w:rPr>
      </w:pPr>
      <w:r w:rsidRPr="00F42B7C">
        <w:rPr>
          <w:lang w:val="en-GB"/>
        </w:rPr>
        <w:t>Cases were initially identified through electronic medical record alerts and later augmented by clinical notification when APSGN became notifiable in Queensland in October 2023. Over the three years of our study period, there were 75 confirmed, probable and possible cases identified, including outbreaks on Waiben (Thursday Island) and New Mapoon. The median age of cases was six years (interquartile range: 4–9 years), with 92% of cases occurring in children under 15, all from First Nations backgrounds. The 63 confirmed and probable cases in children under 15 represent an incidence within this population of 390 cases per 100,000 person-years (95% confidence interval: 294–486 per 100,000 person-years), ostensibly the highest documented rate globally.</w:t>
      </w:r>
    </w:p>
    <w:p w14:paraId="46EA39F7" w14:textId="77777777" w:rsidR="00F42B7C" w:rsidRPr="00F42B7C" w:rsidRDefault="00F42B7C" w:rsidP="00F42B7C">
      <w:pPr>
        <w:divId w:val="935526654"/>
        <w:rPr>
          <w:lang w:val="en-GB"/>
        </w:rPr>
      </w:pPr>
      <w:r w:rsidRPr="00F42B7C">
        <w:rPr>
          <w:lang w:val="en-GB"/>
        </w:rPr>
        <w:t>In the modern era, the burden of this preventable disease for FNQ First Nations children is the highest in the world. Progress will only be made by addressing the underlying social determinants of health, including childhood disadvantage and household crowding.</w:t>
      </w:r>
    </w:p>
    <w:p w14:paraId="65DDFBD9" w14:textId="19FDB1E8" w:rsidR="00620509" w:rsidRPr="006D508B" w:rsidRDefault="00620509" w:rsidP="00620509">
      <w:pPr>
        <w:pStyle w:val="CDIBoxtext-Green"/>
        <w:divId w:val="935526654"/>
        <w:rPr>
          <w:lang w:val="en-GB"/>
        </w:rPr>
      </w:pPr>
      <w:r w:rsidRPr="0037146D">
        <w:rPr>
          <w:lang w:val="en-GB"/>
        </w:rPr>
        <w:lastRenderedPageBreak/>
        <w:t xml:space="preserve">Keywords: </w:t>
      </w:r>
      <w:r w:rsidR="00F42B7C" w:rsidRPr="00F42B7C">
        <w:rPr>
          <w:lang w:val="en-GB"/>
        </w:rPr>
        <w:t xml:space="preserve">acute post-streptococcal glomerulonephritis; glomerulonephritis; </w:t>
      </w:r>
      <w:r w:rsidR="00F42B7C" w:rsidRPr="00F42B7C">
        <w:rPr>
          <w:i/>
          <w:iCs/>
          <w:lang w:val="en-GB"/>
        </w:rPr>
        <w:t>Streptococcus pyogenes</w:t>
      </w:r>
      <w:r w:rsidR="00F42B7C" w:rsidRPr="00F42B7C">
        <w:rPr>
          <w:lang w:val="en-GB"/>
        </w:rPr>
        <w:t>; Indigenous health; First Nations health; Aboriginal and Torres Strait Islander health; kidney disease</w:t>
      </w:r>
    </w:p>
    <w:p w14:paraId="53BF60CA" w14:textId="77777777" w:rsidR="008A0736" w:rsidRDefault="008A0736" w:rsidP="008A0736">
      <w:pPr>
        <w:pStyle w:val="Heading1"/>
        <w:divId w:val="935526654"/>
      </w:pPr>
      <w:r>
        <w:t>Introduction</w:t>
      </w:r>
    </w:p>
    <w:p w14:paraId="4925E7F9" w14:textId="77777777" w:rsidR="00F42B7C" w:rsidRPr="00F42B7C" w:rsidRDefault="00F42B7C" w:rsidP="00F42B7C">
      <w:pPr>
        <w:divId w:val="935526654"/>
        <w:rPr>
          <w:lang w:val="en-GB"/>
        </w:rPr>
      </w:pPr>
      <w:r w:rsidRPr="00F42B7C">
        <w:rPr>
          <w:lang w:val="en-GB"/>
        </w:rPr>
        <w:t xml:space="preserve">Acute post-streptococcal glomerulonephritis (APSGN) results from an immune-mediated glomerular injury, typically following infection with a nephritogenic strain of </w:t>
      </w:r>
      <w:r w:rsidRPr="00F42B7C">
        <w:rPr>
          <w:i/>
          <w:iCs/>
          <w:lang w:val="en-GB"/>
        </w:rPr>
        <w:t xml:space="preserve">Streptococcus pyogenes </w:t>
      </w:r>
      <w:r w:rsidRPr="00F42B7C">
        <w:rPr>
          <w:lang w:val="en-GB"/>
        </w:rPr>
        <w:t>(Strep A).</w:t>
      </w:r>
      <w:r w:rsidRPr="00F42B7C">
        <w:rPr>
          <w:vertAlign w:val="superscript"/>
          <w:lang w:val="en-GB"/>
        </w:rPr>
        <w:t>1</w:t>
      </w:r>
      <w:r w:rsidRPr="00F42B7C">
        <w:rPr>
          <w:lang w:val="en-GB"/>
        </w:rPr>
        <w:t xml:space="preserve"> When the kidney injury clinically manifests, it is usually a nephritic picture with haematuria, oedema, and hypertension. In Northern and Central Australia, APSGN usually follows Strep A skin infection, although it can also follow Strep A pharyngitis. APSGN has also been reported to occasionally follow Group C/G streptococcal infections.</w:t>
      </w:r>
      <w:r w:rsidRPr="00F42B7C">
        <w:rPr>
          <w:vertAlign w:val="superscript"/>
          <w:lang w:val="en-GB"/>
        </w:rPr>
        <w:t>1</w:t>
      </w:r>
    </w:p>
    <w:p w14:paraId="4E41070F" w14:textId="77777777" w:rsidR="00F42B7C" w:rsidRPr="00F42B7C" w:rsidRDefault="00F42B7C" w:rsidP="00F42B7C">
      <w:pPr>
        <w:divId w:val="935526654"/>
        <w:rPr>
          <w:lang w:val="en-GB"/>
        </w:rPr>
      </w:pPr>
      <w:r w:rsidRPr="00F42B7C">
        <w:rPr>
          <w:lang w:val="en-GB"/>
        </w:rPr>
        <w:t>Strep A causes a wide spectrum of disease, from acute infections to toxin-related disease and immune-mediated post-infectious sequelae, including acute rheumatic fever.</w:t>
      </w:r>
      <w:r w:rsidRPr="00F42B7C">
        <w:rPr>
          <w:vertAlign w:val="superscript"/>
          <w:lang w:val="en-GB"/>
        </w:rPr>
        <w:t>2</w:t>
      </w:r>
      <w:r w:rsidRPr="00F42B7C">
        <w:rPr>
          <w:lang w:val="en-GB"/>
        </w:rPr>
        <w:t xml:space="preserve"> APSGN is both endemic and occurs in outbreaks; it is driven by a type III hypersensitivity reaction and is largely pathogen-dependent. Strep A strains are determined by the bacterial M protein (M-type) and related genotype (</w:t>
      </w:r>
      <w:r w:rsidRPr="00F42B7C">
        <w:rPr>
          <w:i/>
          <w:iCs/>
          <w:lang w:val="en-GB"/>
        </w:rPr>
        <w:t>emm</w:t>
      </w:r>
      <w:r w:rsidRPr="00F42B7C">
        <w:rPr>
          <w:lang w:val="en-GB"/>
        </w:rPr>
        <w:t xml:space="preserve">-type). Host immunity is strain-specific. Strep A </w:t>
      </w:r>
      <w:r w:rsidRPr="00F42B7C">
        <w:rPr>
          <w:i/>
          <w:iCs/>
          <w:lang w:val="en-GB"/>
        </w:rPr>
        <w:t>emm</w:t>
      </w:r>
      <w:r w:rsidRPr="00F42B7C">
        <w:rPr>
          <w:lang w:val="en-GB"/>
        </w:rPr>
        <w:t xml:space="preserve">-types </w:t>
      </w:r>
      <w:r w:rsidRPr="00F42B7C">
        <w:rPr>
          <w:i/>
          <w:iCs/>
          <w:lang w:val="en-GB"/>
        </w:rPr>
        <w:t>emm</w:t>
      </w:r>
      <w:r w:rsidRPr="00F42B7C">
        <w:rPr>
          <w:lang w:val="en-GB"/>
        </w:rPr>
        <w:t xml:space="preserve">55, </w:t>
      </w:r>
      <w:r w:rsidRPr="00F42B7C">
        <w:rPr>
          <w:i/>
          <w:iCs/>
          <w:lang w:val="en-GB"/>
        </w:rPr>
        <w:t>emm</w:t>
      </w:r>
      <w:r w:rsidRPr="00F42B7C">
        <w:rPr>
          <w:lang w:val="en-GB"/>
        </w:rPr>
        <w:t xml:space="preserve">49 and </w:t>
      </w:r>
      <w:r w:rsidRPr="00F42B7C">
        <w:rPr>
          <w:i/>
          <w:iCs/>
          <w:lang w:val="en-GB"/>
        </w:rPr>
        <w:t>emm</w:t>
      </w:r>
      <w:r w:rsidRPr="00F42B7C">
        <w:rPr>
          <w:lang w:val="en-GB"/>
        </w:rPr>
        <w:t>60 are the most commonly reported in APSGN cases worldwide.</w:t>
      </w:r>
      <w:r w:rsidRPr="00F42B7C">
        <w:rPr>
          <w:vertAlign w:val="superscript"/>
          <w:lang w:val="en-GB"/>
        </w:rPr>
        <w:t>3</w:t>
      </w:r>
    </w:p>
    <w:p w14:paraId="2FB8AEDB" w14:textId="77777777" w:rsidR="00F42B7C" w:rsidRPr="00F42B7C" w:rsidRDefault="00F42B7C" w:rsidP="00F42B7C">
      <w:pPr>
        <w:divId w:val="935526654"/>
        <w:rPr>
          <w:lang w:val="en-GB"/>
        </w:rPr>
      </w:pPr>
      <w:r w:rsidRPr="00F42B7C">
        <w:rPr>
          <w:lang w:val="en-GB"/>
        </w:rPr>
        <w:t>APSGN is primarily a disease of childhood poverty and is rare in high-income settings. It has a low incidence in the general Australian population (incidence ~11 cases per 100,000 person-years) and has been so for the last 50 years.</w:t>
      </w:r>
      <w:r w:rsidRPr="00F42B7C">
        <w:rPr>
          <w:vertAlign w:val="superscript"/>
          <w:lang w:val="en-GB"/>
        </w:rPr>
        <w:t>2,4</w:t>
      </w:r>
      <w:r w:rsidRPr="00F42B7C">
        <w:rPr>
          <w:lang w:val="en-GB"/>
        </w:rPr>
        <w:t xml:space="preserve"> Nonetheless, high rates of APSGN persist in Aboriginal and Torres Strait Islander (hereafter respectively referred to as First Nation) children, especially in remote and very remote communities across Central Australia, Northern Australia and the Torres Strait. APSGN is a known risk factor for developing chronic kidney disease later in life.</w:t>
      </w:r>
      <w:r w:rsidRPr="00F42B7C">
        <w:rPr>
          <w:vertAlign w:val="superscript"/>
          <w:lang w:val="en-GB"/>
        </w:rPr>
        <w:t>5</w:t>
      </w:r>
      <w:r w:rsidRPr="00F42B7C">
        <w:rPr>
          <w:lang w:val="en-GB"/>
        </w:rPr>
        <w:t xml:space="preserve"> Here there are some of the highest reported regional incidences in the world (greater than 150 cases per 100,000 person-years).</w:t>
      </w:r>
      <w:r w:rsidRPr="00F42B7C">
        <w:rPr>
          <w:vertAlign w:val="superscript"/>
          <w:lang w:val="en-GB"/>
        </w:rPr>
        <w:t>6</w:t>
      </w:r>
      <w:r w:rsidRPr="00F42B7C">
        <w:rPr>
          <w:lang w:val="en-GB"/>
        </w:rPr>
        <w:t xml:space="preserve"> </w:t>
      </w:r>
    </w:p>
    <w:p w14:paraId="5B18CA52" w14:textId="77777777" w:rsidR="00F42B7C" w:rsidRPr="00F42B7C" w:rsidRDefault="00F42B7C" w:rsidP="00F42B7C">
      <w:pPr>
        <w:divId w:val="935526654"/>
        <w:rPr>
          <w:lang w:val="en-GB"/>
        </w:rPr>
      </w:pPr>
      <w:r w:rsidRPr="00F42B7C">
        <w:rPr>
          <w:lang w:val="en-GB"/>
        </w:rPr>
        <w:t>APSGN has long been a notifiable condition in the Northern Territory and Western Australia, and in October 2023, it also became a notifiable condition under Queensland public health legislation.</w:t>
      </w:r>
      <w:r w:rsidRPr="00F42B7C">
        <w:rPr>
          <w:vertAlign w:val="superscript"/>
          <w:lang w:val="en-GB"/>
        </w:rPr>
        <w:t xml:space="preserve">5,7 </w:t>
      </w:r>
      <w:r w:rsidRPr="00F42B7C">
        <w:rPr>
          <w:lang w:val="en-GB"/>
        </w:rPr>
        <w:t>Numerous APSGN outbreaks have been reported across the Torres Strait and Cape York region over the previous 30 years, with at least seven outbreaks documented over the nine years before mandatory notification was introduced.</w:t>
      </w:r>
      <w:r w:rsidRPr="00F42B7C">
        <w:rPr>
          <w:vertAlign w:val="superscript"/>
          <w:lang w:val="en-GB"/>
        </w:rPr>
        <w:t>8</w:t>
      </w:r>
      <w:r w:rsidRPr="00F42B7C">
        <w:rPr>
          <w:lang w:val="en-GB"/>
        </w:rPr>
        <w:t xml:space="preserve"> An outbreak is defined by three reported cases, either probable or confirmed, from a defined community or geographical area, all with an onset within a four week period, and all cases are not household-like contacts of each other.</w:t>
      </w:r>
      <w:r w:rsidRPr="00F42B7C">
        <w:rPr>
          <w:vertAlign w:val="superscript"/>
          <w:lang w:val="en-GB"/>
        </w:rPr>
        <w:t xml:space="preserve">5 </w:t>
      </w:r>
      <w:r w:rsidRPr="00F42B7C">
        <w:rPr>
          <w:lang w:val="en-GB"/>
        </w:rPr>
        <w:t>Prior to 2022, the burden of APSGN in the region had not been routinely documented or reviewed outside outbreak settings. This study describes the epidemiology of APSGN in the Torres Strait and Cape York area of Far North Queensland over three years spanning pre- and post-mandatory notification; it is the first known review of its kind for this region.</w:t>
      </w:r>
    </w:p>
    <w:p w14:paraId="0B901E7A" w14:textId="77777777" w:rsidR="008A0736" w:rsidRDefault="008A0736" w:rsidP="008A0736">
      <w:pPr>
        <w:pStyle w:val="Heading1"/>
        <w:divId w:val="935526654"/>
        <w:rPr>
          <w:lang w:val="en-GB"/>
        </w:rPr>
      </w:pPr>
      <w:r>
        <w:rPr>
          <w:lang w:val="en-GB"/>
        </w:rPr>
        <w:lastRenderedPageBreak/>
        <w:t>Methods</w:t>
      </w:r>
    </w:p>
    <w:p w14:paraId="32EDEAF0" w14:textId="69D6D5BE" w:rsidR="008A0736" w:rsidRDefault="00F42B7C" w:rsidP="00F42B7C">
      <w:pPr>
        <w:pStyle w:val="Heading2-lessspacebefore"/>
        <w:divId w:val="935526654"/>
      </w:pPr>
      <w:r>
        <w:t>Setting</w:t>
      </w:r>
    </w:p>
    <w:p w14:paraId="3E13D6E2" w14:textId="77777777" w:rsidR="00F42B7C" w:rsidRPr="00F42B7C" w:rsidRDefault="00F42B7C" w:rsidP="00F42B7C">
      <w:pPr>
        <w:keepLines/>
        <w:divId w:val="935526654"/>
        <w:rPr>
          <w:lang w:val="en-GB"/>
        </w:rPr>
      </w:pPr>
      <w:r w:rsidRPr="00F42B7C">
        <w:rPr>
          <w:lang w:val="en-GB"/>
        </w:rPr>
        <w:t>The Torres and Cape Hospital and Health Service (TCHHS) serves a population of around 27,000 over a geographical area of 130,278 km</w:t>
      </w:r>
      <w:r w:rsidRPr="00F42B7C">
        <w:rPr>
          <w:vertAlign w:val="superscript"/>
          <w:lang w:val="en-GB"/>
        </w:rPr>
        <w:t>2</w:t>
      </w:r>
      <w:r w:rsidRPr="00F42B7C">
        <w:rPr>
          <w:lang w:val="en-GB"/>
        </w:rPr>
        <w:t xml:space="preserve"> (similar to the land area of England) and includes 31 Queensland Health operated primary healthcare centres and four remote hospitals, across 13 local government areas. TCHHS delivers healthcare services in the region in partnership with Aboriginal Community Controlled Health Organisations and the Royal Flying Doctor Service. First Nations people account for nearly 70% of the population.</w:t>
      </w:r>
      <w:r w:rsidRPr="00F42B7C">
        <w:rPr>
          <w:vertAlign w:val="superscript"/>
          <w:lang w:val="en-GB"/>
        </w:rPr>
        <w:t>9</w:t>
      </w:r>
    </w:p>
    <w:p w14:paraId="54DB5C72" w14:textId="4A5606BB" w:rsidR="00F42B7C" w:rsidRDefault="00F42B7C" w:rsidP="00F42B7C">
      <w:pPr>
        <w:pStyle w:val="Heading2"/>
        <w:divId w:val="935526654"/>
      </w:pPr>
      <w:r>
        <w:t>Data collection</w:t>
      </w:r>
      <w:r w:rsidR="00044539">
        <w:t xml:space="preserve"> and analysis</w:t>
      </w:r>
    </w:p>
    <w:p w14:paraId="1D985A5C" w14:textId="43943A57" w:rsidR="00F42B7C" w:rsidRPr="00F42B7C" w:rsidRDefault="00F42B7C" w:rsidP="00F42B7C">
      <w:pPr>
        <w:divId w:val="935526654"/>
        <w:rPr>
          <w:lang w:val="en-GB"/>
        </w:rPr>
      </w:pPr>
      <w:r w:rsidRPr="00F42B7C">
        <w:rPr>
          <w:lang w:val="en-GB"/>
        </w:rPr>
        <w:t>In January 2022, the Torres and Cape Public Health Unit established a real-time APSGN email alert system which identified potential APSGN cases documented by Queensland Health clinicians on the TCHHS electronic medical record system (Best Practice Software®). Following an alert, suspected cases were immediately investigated, and details were stored on a local Microsoft Excel 2016 database. Once APSGN became notifiable in Queensland in October 2023, cases were recorded on the Queensland Notifiable Conditions System (NoCS). Data for this review were extracted from the local database and NoCS and included confirmed, probable, and possible APSGN cases notified between 1 January 2022 and 31</w:t>
      </w:r>
      <w:r>
        <w:rPr>
          <w:lang w:val="en-GB"/>
        </w:rPr>
        <w:t> </w:t>
      </w:r>
      <w:r w:rsidRPr="00F42B7C">
        <w:rPr>
          <w:lang w:val="en-GB"/>
        </w:rPr>
        <w:t xml:space="preserve">December 2024 for residents of the TCHHS region. </w:t>
      </w:r>
    </w:p>
    <w:p w14:paraId="78CF34BD" w14:textId="77777777" w:rsidR="00F42B7C" w:rsidRPr="00F42B7C" w:rsidRDefault="00F42B7C" w:rsidP="00F42B7C">
      <w:pPr>
        <w:divId w:val="935526654"/>
        <w:rPr>
          <w:lang w:val="en-GB"/>
        </w:rPr>
      </w:pPr>
      <w:r w:rsidRPr="00F42B7C">
        <w:rPr>
          <w:lang w:val="en-GB"/>
        </w:rPr>
        <w:t>Laboratory results were cross-checked against those held on the Pathology Queensland Laboratory Information System (AusCare), and the clinical information was checked against patient records in Best Practice Software®. Contact tracing was conducted for all confirmed and probable cases in line with the Northern Territory Health APSGN guideline, and later, when published, the Queensland Health guideline.</w:t>
      </w:r>
      <w:r w:rsidRPr="00F42B7C">
        <w:rPr>
          <w:vertAlign w:val="superscript"/>
          <w:lang w:val="en-GB"/>
        </w:rPr>
        <w:t>5</w:t>
      </w:r>
      <w:r w:rsidRPr="00F42B7C">
        <w:rPr>
          <w:lang w:val="en-GB"/>
        </w:rPr>
        <w:t xml:space="preserve"> </w:t>
      </w:r>
      <w:r w:rsidRPr="00F42B7C">
        <w:rPr>
          <w:i/>
          <w:iCs/>
          <w:lang w:val="en-GB"/>
        </w:rPr>
        <w:t>Emm</w:t>
      </w:r>
      <w:r w:rsidRPr="00F42B7C">
        <w:rPr>
          <w:lang w:val="en-GB"/>
        </w:rPr>
        <w:t>-typing was performed by the Queensland Public and Environmental Health Laboratory (PEHRL) for individual cases on request by the Torres and Cape Public Health Unit. Case and outbreak definitions were as per the Queensland Health APSGN Guidelines for Public Health Units (Appendix A).</w:t>
      </w:r>
      <w:r w:rsidRPr="00F42B7C">
        <w:rPr>
          <w:vertAlign w:val="superscript"/>
          <w:lang w:val="en-GB"/>
        </w:rPr>
        <w:t>5</w:t>
      </w:r>
      <w:r w:rsidRPr="00F42B7C">
        <w:rPr>
          <w:lang w:val="en-GB"/>
        </w:rPr>
        <w:t xml:space="preserve"> Crude incidence was calculated using 2022 estimated resident populations for the TCHHS region based on 2021 census data.</w:t>
      </w:r>
      <w:r w:rsidRPr="00F42B7C">
        <w:rPr>
          <w:vertAlign w:val="superscript"/>
          <w:lang w:val="en-GB"/>
        </w:rPr>
        <w:t>10</w:t>
      </w:r>
      <w:r w:rsidRPr="00F42B7C">
        <w:rPr>
          <w:lang w:val="en-GB"/>
        </w:rPr>
        <w:t xml:space="preserve"> Data were analysed and the epidemic curve was created in Microsoft Excel.</w:t>
      </w:r>
    </w:p>
    <w:p w14:paraId="1F2FCBEC" w14:textId="48698EB3" w:rsidR="00F42B7C" w:rsidRDefault="00F42B7C" w:rsidP="00F42B7C">
      <w:pPr>
        <w:pStyle w:val="Heading2"/>
        <w:divId w:val="935526654"/>
      </w:pPr>
      <w:r>
        <w:t>Ethics approval</w:t>
      </w:r>
    </w:p>
    <w:p w14:paraId="18E6F887" w14:textId="77777777" w:rsidR="00F42B7C" w:rsidRPr="00F42B7C" w:rsidRDefault="00F42B7C" w:rsidP="00F42B7C">
      <w:pPr>
        <w:divId w:val="935526654"/>
        <w:rPr>
          <w:lang w:val="en-GB"/>
        </w:rPr>
      </w:pPr>
      <w:r w:rsidRPr="00F42B7C">
        <w:rPr>
          <w:lang w:val="en-GB"/>
        </w:rPr>
        <w:t>An ethics exemption was granted by the Far North Queensland Human Research Ethics Committee (EX/2022/QCH/92523).</w:t>
      </w:r>
    </w:p>
    <w:p w14:paraId="6C5AD100" w14:textId="77777777" w:rsidR="008A0736" w:rsidRDefault="008A0736" w:rsidP="008A0736">
      <w:pPr>
        <w:pStyle w:val="Heading1"/>
        <w:divId w:val="935526654"/>
        <w:rPr>
          <w:lang w:val="en-GB"/>
        </w:rPr>
      </w:pPr>
      <w:r>
        <w:rPr>
          <w:lang w:val="en-GB"/>
        </w:rPr>
        <w:lastRenderedPageBreak/>
        <w:t>Results</w:t>
      </w:r>
    </w:p>
    <w:p w14:paraId="6BD157A3" w14:textId="2AD7E2BB" w:rsidR="00F42B7C" w:rsidRDefault="00F42B7C" w:rsidP="00F42B7C">
      <w:pPr>
        <w:keepLines/>
        <w:divId w:val="935526654"/>
        <w:rPr>
          <w:lang w:val="en-GB"/>
        </w:rPr>
      </w:pPr>
      <w:r w:rsidRPr="00F42B7C">
        <w:rPr>
          <w:lang w:val="en-GB"/>
        </w:rPr>
        <w:t>Seventy-five cases of APSGN were identified over the three-year review period, comprising 42 confirmed, 26 probable and seven possible cases (Figure 1). A further 84 cases were investigated but did not meet the case definition criteria.</w:t>
      </w:r>
      <w:r w:rsidRPr="00F42B7C">
        <w:rPr>
          <w:vertAlign w:val="superscript"/>
          <w:lang w:val="en-GB"/>
        </w:rPr>
        <w:t>5</w:t>
      </w:r>
      <w:r w:rsidRPr="00F42B7C">
        <w:rPr>
          <w:lang w:val="en-GB"/>
        </w:rPr>
        <w:t xml:space="preserve"> Most cases, 67/75 (89%) were identified by clinical presentation; 8/75 cases (11%) were identified through contact tracing. The median age of cases was six years (interquartile range: 4–9</w:t>
      </w:r>
      <w:r>
        <w:rPr>
          <w:lang w:val="en-GB"/>
        </w:rPr>
        <w:t> </w:t>
      </w:r>
      <w:r w:rsidRPr="00F42B7C">
        <w:rPr>
          <w:lang w:val="en-GB"/>
        </w:rPr>
        <w:t xml:space="preserve">years; range: 0–55 years), with 69/75 cases (92%) aged under 15 years. Males accounted for 44/75 of cases (59%). All cases identified occurred in First Nations people, and cases were resident across 28 communities in the Torres and Cape region (Table 1). The 68 confirmed and probable cases represented a region-wide incidence of 88 cases per 100,000 person-years (95% confidence interval [95% CI] 67–108 per 100,000 person-years) and an incidence among First Nations people of 133 per 100,000 person years (95% CI: 101–165 per 100,000 person-years). </w:t>
      </w:r>
    </w:p>
    <w:p w14:paraId="78E5D2DA" w14:textId="252CD813" w:rsidR="006D4900" w:rsidRPr="006D4900" w:rsidRDefault="006D4900" w:rsidP="006D4900">
      <w:pPr>
        <w:pStyle w:val="CDITable-Title"/>
        <w:divId w:val="935526654"/>
      </w:pPr>
      <w:r w:rsidRPr="006D4900">
        <w:t>Figure 1: APSGN cases in the Torres Strait and Cape York region</w:t>
      </w:r>
      <w:r w:rsidRPr="00400DB8">
        <w:rPr>
          <w:vertAlign w:val="superscript"/>
        </w:rPr>
        <w:t>a</w:t>
      </w:r>
      <w:r w:rsidRPr="006D4900">
        <w:t>, Queensland, Australia, January 2022 – December 2024</w:t>
      </w:r>
    </w:p>
    <w:p w14:paraId="04C58784" w14:textId="59473166" w:rsidR="006D4900" w:rsidRPr="006D4900" w:rsidRDefault="006D4900" w:rsidP="006D4900">
      <w:pPr>
        <w:pStyle w:val="CDIFigure-Placeholder"/>
        <w:divId w:val="935526654"/>
      </w:pPr>
      <w:r>
        <w:rPr>
          <w:noProof/>
          <w14:ligatures w14:val="none"/>
        </w:rPr>
        <w:drawing>
          <wp:inline distT="0" distB="0" distL="0" distR="0" wp14:anchorId="1B3EEE53" wp14:editId="09FF2D8F">
            <wp:extent cx="6120765" cy="3231515"/>
            <wp:effectExtent l="0" t="0" r="0" b="6985"/>
            <wp:docPr id="1712518029" name="Picture 1" descr="Figure 1: Bar chart showing cases of APSGN over time, coloured according to confirmed, probable or possible case status. The largest peak is in October 2023. There is also an arrow to signify when APSGN became notifiable in Octo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18029" name="Picture 1" descr="Figure 1: Bar chart showing cases of APSGN over time, coloured according to confirmed, probable or possible case status. The largest peak is in October 2023. There is also an arrow to signify when APSGN became notifiable in October 2023."/>
                    <pic:cNvPicPr/>
                  </pic:nvPicPr>
                  <pic:blipFill>
                    <a:blip r:embed="rId9">
                      <a:extLst>
                        <a:ext uri="{28A0092B-C50C-407E-A947-70E740481C1C}">
                          <a14:useLocalDpi xmlns:a14="http://schemas.microsoft.com/office/drawing/2010/main" val="0"/>
                        </a:ext>
                      </a:extLst>
                    </a:blip>
                    <a:stretch>
                      <a:fillRect/>
                    </a:stretch>
                  </pic:blipFill>
                  <pic:spPr>
                    <a:xfrm>
                      <a:off x="0" y="0"/>
                      <a:ext cx="6120765" cy="3231515"/>
                    </a:xfrm>
                    <a:prstGeom prst="rect">
                      <a:avLst/>
                    </a:prstGeom>
                  </pic:spPr>
                </pic:pic>
              </a:graphicData>
            </a:graphic>
          </wp:inline>
        </w:drawing>
      </w:r>
    </w:p>
    <w:p w14:paraId="794BBE60" w14:textId="77777777" w:rsidR="006D4900" w:rsidRDefault="006D4900" w:rsidP="006D4900">
      <w:pPr>
        <w:pStyle w:val="CDITable-Firstfootnote"/>
        <w:divId w:val="935526654"/>
        <w:sectPr w:rsidR="006D4900" w:rsidSect="00690957">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1907" w:h="16840" w:code="9"/>
          <w:pgMar w:top="1134" w:right="1134" w:bottom="1304" w:left="1134" w:header="709" w:footer="567" w:gutter="0"/>
          <w:cols w:space="708"/>
          <w:titlePg/>
          <w:docGrid w:linePitch="360"/>
          <w15:footnoteColumns w:val="1"/>
        </w:sectPr>
      </w:pPr>
      <w:r w:rsidRPr="006D4900">
        <w:t>a</w:t>
      </w:r>
      <w:r w:rsidRPr="006D4900">
        <w:tab/>
        <w:t>Includes two cases in which the date of notification is used, as the date of onset is unknown.</w:t>
      </w:r>
    </w:p>
    <w:p w14:paraId="17AE3BF3" w14:textId="3861B662" w:rsidR="006D4900" w:rsidRDefault="006D4900" w:rsidP="006D4900">
      <w:pPr>
        <w:pStyle w:val="CDITable-Titlenospacebefore"/>
        <w:divId w:val="935526654"/>
      </w:pPr>
      <w:r w:rsidRPr="006D4900">
        <w:lastRenderedPageBreak/>
        <w:t>Table 1: Characteristics of APSGN cases in the Torres Strait and Cape York region, Queensland, Australia, by case definition status, January 2022 – December</w:t>
      </w:r>
      <w:r>
        <w:t> </w:t>
      </w:r>
      <w:r w:rsidRPr="006D4900">
        <w:t>2024</w:t>
      </w:r>
    </w:p>
    <w:tbl>
      <w:tblPr>
        <w:tblW w:w="0" w:type="auto"/>
        <w:tblLayout w:type="fixed"/>
        <w:tblCellMar>
          <w:left w:w="0" w:type="dxa"/>
          <w:right w:w="0" w:type="dxa"/>
        </w:tblCellMar>
        <w:tblLook w:val="0000" w:firstRow="0" w:lastRow="0" w:firstColumn="0" w:lastColumn="0" w:noHBand="0" w:noVBand="0"/>
        <w:tblCaption w:val="Table 1: Characteristics of APSGN cases in the Torres Strait and Cape York region, Queensland, Australia, by case definition status, January 2022 – December 2024"/>
        <w:tblDescription w:val="Table 1 shows the proportion of confirmed, probable and possible cases with demographic, clinical and laboratory characteristics including age, First Nations status, clinical case definition criteria, laboratory criteria and current and recent skin, throat or scabies infection."/>
      </w:tblPr>
      <w:tblGrid>
        <w:gridCol w:w="3118"/>
        <w:gridCol w:w="3118"/>
        <w:gridCol w:w="1351"/>
        <w:gridCol w:w="1352"/>
        <w:gridCol w:w="1351"/>
        <w:gridCol w:w="1351"/>
        <w:gridCol w:w="1351"/>
        <w:gridCol w:w="1351"/>
      </w:tblGrid>
      <w:tr w:rsidR="006D4900" w:rsidRPr="006D4900" w14:paraId="0C5B811C" w14:textId="77777777" w:rsidTr="00400DB8">
        <w:trPr>
          <w:divId w:val="935526654"/>
          <w:trHeight w:val="20"/>
          <w:tblHeader/>
        </w:trPr>
        <w:tc>
          <w:tcPr>
            <w:tcW w:w="3118" w:type="dxa"/>
            <w:vMerge w:val="restart"/>
            <w:shd w:val="solid" w:color="033636" w:fill="auto"/>
            <w:tcMar>
              <w:top w:w="113" w:type="dxa"/>
              <w:left w:w="113" w:type="dxa"/>
              <w:bottom w:w="113" w:type="dxa"/>
              <w:right w:w="113" w:type="dxa"/>
            </w:tcMar>
            <w:vAlign w:val="bottom"/>
          </w:tcPr>
          <w:p w14:paraId="08D230D1" w14:textId="77777777" w:rsidR="006D4900" w:rsidRPr="006D4900" w:rsidRDefault="006D4900" w:rsidP="006D4900">
            <w:pPr>
              <w:pStyle w:val="CDITable-HeaderRowLeft"/>
            </w:pPr>
            <w:r w:rsidRPr="006D4900">
              <w:t>Characteristic</w:t>
            </w:r>
          </w:p>
        </w:tc>
        <w:tc>
          <w:tcPr>
            <w:tcW w:w="3118" w:type="dxa"/>
            <w:vMerge w:val="restart"/>
            <w:shd w:val="solid" w:color="033636" w:fill="auto"/>
            <w:tcMar>
              <w:top w:w="113" w:type="dxa"/>
              <w:left w:w="113" w:type="dxa"/>
              <w:bottom w:w="113" w:type="dxa"/>
              <w:right w:w="113" w:type="dxa"/>
            </w:tcMar>
            <w:vAlign w:val="bottom"/>
          </w:tcPr>
          <w:p w14:paraId="02A771BC" w14:textId="77777777" w:rsidR="006D4900" w:rsidRPr="006D4900" w:rsidRDefault="006D4900" w:rsidP="006D4900">
            <w:pPr>
              <w:pStyle w:val="CDITable-HeaderRowLeft"/>
            </w:pPr>
            <w:r w:rsidRPr="006D4900">
              <w:t>Category</w:t>
            </w:r>
          </w:p>
        </w:tc>
        <w:tc>
          <w:tcPr>
            <w:tcW w:w="8107" w:type="dxa"/>
            <w:gridSpan w:val="6"/>
            <w:shd w:val="solid" w:color="033636" w:fill="auto"/>
            <w:tcMar>
              <w:top w:w="113" w:type="dxa"/>
              <w:left w:w="113" w:type="dxa"/>
              <w:bottom w:w="113" w:type="dxa"/>
              <w:right w:w="113" w:type="dxa"/>
            </w:tcMar>
            <w:vAlign w:val="bottom"/>
          </w:tcPr>
          <w:p w14:paraId="6CC2E86D" w14:textId="77777777" w:rsidR="006D4900" w:rsidRPr="006D4900" w:rsidRDefault="006D4900" w:rsidP="006D4900">
            <w:pPr>
              <w:pStyle w:val="CDITable-HeaderRowCentre"/>
            </w:pPr>
            <w:r w:rsidRPr="006D4900">
              <w:t>Case definition status</w:t>
            </w:r>
          </w:p>
        </w:tc>
      </w:tr>
      <w:tr w:rsidR="006D4900" w:rsidRPr="006D4900" w14:paraId="0DC06F30" w14:textId="77777777" w:rsidTr="00400DB8">
        <w:trPr>
          <w:divId w:val="935526654"/>
          <w:trHeight w:val="20"/>
          <w:tblHeader/>
        </w:trPr>
        <w:tc>
          <w:tcPr>
            <w:tcW w:w="3118" w:type="dxa"/>
            <w:vMerge/>
          </w:tcPr>
          <w:p w14:paraId="2D74BBC1" w14:textId="77777777" w:rsidR="006D4900" w:rsidRPr="006D4900" w:rsidRDefault="006D4900" w:rsidP="006D4900"/>
        </w:tc>
        <w:tc>
          <w:tcPr>
            <w:tcW w:w="3118" w:type="dxa"/>
            <w:vMerge/>
          </w:tcPr>
          <w:p w14:paraId="7253B7DF" w14:textId="77777777" w:rsidR="006D4900" w:rsidRPr="006D4900" w:rsidRDefault="006D4900" w:rsidP="006D4900"/>
        </w:tc>
        <w:tc>
          <w:tcPr>
            <w:tcW w:w="2703" w:type="dxa"/>
            <w:gridSpan w:val="2"/>
            <w:tcBorders>
              <w:bottom w:val="single" w:sz="6" w:space="0" w:color="FFFFFF" w:themeColor="background1"/>
            </w:tcBorders>
            <w:shd w:val="solid" w:color="033636" w:fill="auto"/>
            <w:tcMar>
              <w:top w:w="113" w:type="dxa"/>
              <w:left w:w="113" w:type="dxa"/>
              <w:bottom w:w="113" w:type="dxa"/>
              <w:right w:w="113" w:type="dxa"/>
            </w:tcMar>
            <w:vAlign w:val="bottom"/>
          </w:tcPr>
          <w:p w14:paraId="10C1E146" w14:textId="77777777" w:rsidR="006D4900" w:rsidRPr="006D4900" w:rsidRDefault="006D4900" w:rsidP="006D4900">
            <w:pPr>
              <w:pStyle w:val="CDITable-HeaderRowCentre"/>
            </w:pPr>
            <w:r w:rsidRPr="006D4900">
              <w:t>Confirmed</w:t>
            </w:r>
          </w:p>
        </w:tc>
        <w:tc>
          <w:tcPr>
            <w:tcW w:w="2702" w:type="dxa"/>
            <w:gridSpan w:val="2"/>
            <w:tcBorders>
              <w:bottom w:val="single" w:sz="6" w:space="0" w:color="FFFFFF" w:themeColor="background1"/>
            </w:tcBorders>
            <w:shd w:val="solid" w:color="033636" w:fill="auto"/>
            <w:tcMar>
              <w:top w:w="113" w:type="dxa"/>
              <w:left w:w="113" w:type="dxa"/>
              <w:bottom w:w="113" w:type="dxa"/>
              <w:right w:w="113" w:type="dxa"/>
            </w:tcMar>
            <w:vAlign w:val="bottom"/>
          </w:tcPr>
          <w:p w14:paraId="78EBE642" w14:textId="77777777" w:rsidR="006D4900" w:rsidRPr="006D4900" w:rsidRDefault="006D4900" w:rsidP="006D4900">
            <w:pPr>
              <w:pStyle w:val="CDITable-HeaderRowCentre"/>
            </w:pPr>
            <w:r w:rsidRPr="006D4900">
              <w:t>Probable</w:t>
            </w:r>
          </w:p>
        </w:tc>
        <w:tc>
          <w:tcPr>
            <w:tcW w:w="2702" w:type="dxa"/>
            <w:gridSpan w:val="2"/>
            <w:tcBorders>
              <w:bottom w:val="single" w:sz="6" w:space="0" w:color="FFFFFF" w:themeColor="background1"/>
            </w:tcBorders>
            <w:shd w:val="solid" w:color="033636" w:fill="auto"/>
            <w:tcMar>
              <w:top w:w="113" w:type="dxa"/>
              <w:left w:w="113" w:type="dxa"/>
              <w:bottom w:w="113" w:type="dxa"/>
              <w:right w:w="113" w:type="dxa"/>
            </w:tcMar>
            <w:vAlign w:val="bottom"/>
          </w:tcPr>
          <w:p w14:paraId="0CED7C26" w14:textId="77777777" w:rsidR="006D4900" w:rsidRPr="006D4900" w:rsidRDefault="006D4900" w:rsidP="006D4900">
            <w:pPr>
              <w:pStyle w:val="CDITable-HeaderRowCentre"/>
            </w:pPr>
            <w:r w:rsidRPr="006D4900">
              <w:t>Possible</w:t>
            </w:r>
          </w:p>
        </w:tc>
      </w:tr>
      <w:tr w:rsidR="006D4900" w:rsidRPr="006D4900" w14:paraId="18660786" w14:textId="77777777" w:rsidTr="00400DB8">
        <w:trPr>
          <w:divId w:val="935526654"/>
          <w:trHeight w:val="20"/>
          <w:tblHeader/>
        </w:trPr>
        <w:tc>
          <w:tcPr>
            <w:tcW w:w="3118" w:type="dxa"/>
            <w:vMerge/>
          </w:tcPr>
          <w:p w14:paraId="2A762C73" w14:textId="77777777" w:rsidR="006D4900" w:rsidRPr="006D4900" w:rsidRDefault="006D4900" w:rsidP="006D4900"/>
        </w:tc>
        <w:tc>
          <w:tcPr>
            <w:tcW w:w="3118" w:type="dxa"/>
            <w:vMerge/>
          </w:tcPr>
          <w:p w14:paraId="12941178" w14:textId="77777777" w:rsidR="006D4900" w:rsidRPr="006D4900" w:rsidRDefault="006D4900" w:rsidP="006D4900"/>
        </w:tc>
        <w:tc>
          <w:tcPr>
            <w:tcW w:w="1351" w:type="dxa"/>
            <w:tcBorders>
              <w:top w:val="single" w:sz="6" w:space="0" w:color="FFFFFF" w:themeColor="background1"/>
            </w:tcBorders>
            <w:shd w:val="solid" w:color="033636" w:fill="auto"/>
            <w:tcMar>
              <w:top w:w="113" w:type="dxa"/>
              <w:left w:w="113" w:type="dxa"/>
              <w:bottom w:w="113" w:type="dxa"/>
              <w:right w:w="113" w:type="dxa"/>
            </w:tcMar>
            <w:vAlign w:val="bottom"/>
          </w:tcPr>
          <w:p w14:paraId="556EEC54" w14:textId="77777777" w:rsidR="006D4900" w:rsidRPr="006D4900" w:rsidRDefault="006D4900" w:rsidP="006D4900">
            <w:pPr>
              <w:pStyle w:val="CDITable-HeaderRowCentre"/>
            </w:pPr>
            <w:r w:rsidRPr="006D4900">
              <w:t>n/total</w:t>
            </w:r>
          </w:p>
        </w:tc>
        <w:tc>
          <w:tcPr>
            <w:tcW w:w="1352" w:type="dxa"/>
            <w:tcBorders>
              <w:top w:val="single" w:sz="6" w:space="0" w:color="FFFFFF" w:themeColor="background1"/>
              <w:right w:val="single" w:sz="6" w:space="0" w:color="FFFFFF" w:themeColor="background1"/>
            </w:tcBorders>
            <w:shd w:val="solid" w:color="033636" w:fill="auto"/>
            <w:tcMar>
              <w:top w:w="113" w:type="dxa"/>
              <w:left w:w="113" w:type="dxa"/>
              <w:bottom w:w="113" w:type="dxa"/>
              <w:right w:w="113" w:type="dxa"/>
            </w:tcMar>
            <w:vAlign w:val="bottom"/>
          </w:tcPr>
          <w:p w14:paraId="1B6D3426" w14:textId="77777777" w:rsidR="006D4900" w:rsidRPr="006D4900" w:rsidRDefault="006D4900" w:rsidP="006D4900">
            <w:pPr>
              <w:pStyle w:val="CDITable-HeaderRowCentre"/>
            </w:pPr>
            <w:r w:rsidRPr="006D4900">
              <w:t>%</w:t>
            </w:r>
          </w:p>
        </w:tc>
        <w:tc>
          <w:tcPr>
            <w:tcW w:w="1351" w:type="dxa"/>
            <w:tcBorders>
              <w:top w:val="single" w:sz="6" w:space="0" w:color="FFFFFF" w:themeColor="background1"/>
              <w:left w:val="single" w:sz="6" w:space="0" w:color="FFFFFF" w:themeColor="background1"/>
            </w:tcBorders>
            <w:shd w:val="solid" w:color="033636" w:fill="auto"/>
            <w:tcMar>
              <w:top w:w="113" w:type="dxa"/>
              <w:left w:w="113" w:type="dxa"/>
              <w:bottom w:w="113" w:type="dxa"/>
              <w:right w:w="113" w:type="dxa"/>
            </w:tcMar>
            <w:vAlign w:val="bottom"/>
          </w:tcPr>
          <w:p w14:paraId="47766348" w14:textId="77777777" w:rsidR="006D4900" w:rsidRPr="006D4900" w:rsidRDefault="006D4900" w:rsidP="006D4900">
            <w:pPr>
              <w:pStyle w:val="CDITable-HeaderRowCentre"/>
            </w:pPr>
            <w:r w:rsidRPr="006D4900">
              <w:t>n/total</w:t>
            </w:r>
          </w:p>
        </w:tc>
        <w:tc>
          <w:tcPr>
            <w:tcW w:w="1351" w:type="dxa"/>
            <w:tcBorders>
              <w:top w:val="single" w:sz="6" w:space="0" w:color="FFFFFF" w:themeColor="background1"/>
              <w:right w:val="single" w:sz="6" w:space="0" w:color="FFFFFF" w:themeColor="background1"/>
            </w:tcBorders>
            <w:shd w:val="solid" w:color="033636" w:fill="auto"/>
            <w:tcMar>
              <w:top w:w="113" w:type="dxa"/>
              <w:left w:w="113" w:type="dxa"/>
              <w:bottom w:w="113" w:type="dxa"/>
              <w:right w:w="113" w:type="dxa"/>
            </w:tcMar>
            <w:vAlign w:val="bottom"/>
          </w:tcPr>
          <w:p w14:paraId="23CB93F4" w14:textId="77777777" w:rsidR="006D4900" w:rsidRPr="006D4900" w:rsidRDefault="006D4900" w:rsidP="006D4900">
            <w:pPr>
              <w:pStyle w:val="CDITable-HeaderRowCentre"/>
            </w:pPr>
            <w:r w:rsidRPr="006D4900">
              <w:t>%</w:t>
            </w:r>
          </w:p>
        </w:tc>
        <w:tc>
          <w:tcPr>
            <w:tcW w:w="1351" w:type="dxa"/>
            <w:tcBorders>
              <w:top w:val="single" w:sz="6" w:space="0" w:color="FFFFFF" w:themeColor="background1"/>
              <w:left w:val="single" w:sz="6" w:space="0" w:color="FFFFFF" w:themeColor="background1"/>
            </w:tcBorders>
            <w:shd w:val="solid" w:color="033636" w:fill="auto"/>
            <w:tcMar>
              <w:top w:w="113" w:type="dxa"/>
              <w:left w:w="113" w:type="dxa"/>
              <w:bottom w:w="113" w:type="dxa"/>
              <w:right w:w="113" w:type="dxa"/>
            </w:tcMar>
            <w:vAlign w:val="bottom"/>
          </w:tcPr>
          <w:p w14:paraId="53F7C677" w14:textId="77777777" w:rsidR="006D4900" w:rsidRPr="006D4900" w:rsidRDefault="006D4900" w:rsidP="006D4900">
            <w:pPr>
              <w:pStyle w:val="CDITable-HeaderRowCentre"/>
            </w:pPr>
            <w:r w:rsidRPr="006D4900">
              <w:t>n/total</w:t>
            </w:r>
          </w:p>
        </w:tc>
        <w:tc>
          <w:tcPr>
            <w:tcW w:w="1351" w:type="dxa"/>
            <w:tcBorders>
              <w:top w:val="single" w:sz="6" w:space="0" w:color="FFFFFF" w:themeColor="background1"/>
            </w:tcBorders>
            <w:shd w:val="solid" w:color="033636" w:fill="auto"/>
            <w:tcMar>
              <w:top w:w="113" w:type="dxa"/>
              <w:left w:w="113" w:type="dxa"/>
              <w:bottom w:w="113" w:type="dxa"/>
              <w:right w:w="113" w:type="dxa"/>
            </w:tcMar>
            <w:vAlign w:val="bottom"/>
          </w:tcPr>
          <w:p w14:paraId="6385A05D" w14:textId="77777777" w:rsidR="006D4900" w:rsidRPr="006D4900" w:rsidRDefault="006D4900" w:rsidP="006D4900">
            <w:pPr>
              <w:pStyle w:val="CDITable-HeaderRowCentre"/>
            </w:pPr>
            <w:r w:rsidRPr="006D4900">
              <w:t>%</w:t>
            </w:r>
          </w:p>
        </w:tc>
      </w:tr>
      <w:tr w:rsidR="006D4900" w:rsidRPr="006D4900" w14:paraId="600C197D" w14:textId="77777777" w:rsidTr="00400DB8">
        <w:trPr>
          <w:divId w:val="935526654"/>
          <w:trHeight w:val="20"/>
        </w:trPr>
        <w:tc>
          <w:tcPr>
            <w:tcW w:w="3118" w:type="dxa"/>
            <w:vMerge w:val="restart"/>
            <w:tcBorders>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1D3B5D33" w14:textId="77777777" w:rsidR="006D4900" w:rsidRPr="006D4900" w:rsidRDefault="006D4900" w:rsidP="006D4900">
            <w:pPr>
              <w:pStyle w:val="CDITable-RowLeft"/>
            </w:pPr>
            <w:r w:rsidRPr="006D4900">
              <w:t>Age group</w:t>
            </w:r>
          </w:p>
        </w:tc>
        <w:tc>
          <w:tcPr>
            <w:tcW w:w="3118" w:type="dxa"/>
            <w:tcMar>
              <w:top w:w="113" w:type="dxa"/>
              <w:left w:w="113" w:type="dxa"/>
              <w:bottom w:w="113" w:type="dxa"/>
              <w:right w:w="113" w:type="dxa"/>
            </w:tcMar>
            <w:vAlign w:val="center"/>
          </w:tcPr>
          <w:p w14:paraId="097325E1" w14:textId="77777777" w:rsidR="006D4900" w:rsidRPr="006D4900" w:rsidRDefault="006D4900" w:rsidP="006D4900">
            <w:pPr>
              <w:pStyle w:val="CDITable-RowLeft"/>
            </w:pPr>
            <w:r w:rsidRPr="006D4900">
              <w:t>0–4 years</w:t>
            </w:r>
          </w:p>
        </w:tc>
        <w:tc>
          <w:tcPr>
            <w:tcW w:w="1351" w:type="dxa"/>
            <w:tcMar>
              <w:top w:w="113" w:type="dxa"/>
              <w:left w:w="113" w:type="dxa"/>
              <w:bottom w:w="113" w:type="dxa"/>
              <w:right w:w="113" w:type="dxa"/>
            </w:tcMar>
            <w:vAlign w:val="center"/>
          </w:tcPr>
          <w:p w14:paraId="2180CCA2" w14:textId="77777777" w:rsidR="006D4900" w:rsidRPr="006D4900" w:rsidRDefault="006D4900" w:rsidP="006D4900">
            <w:pPr>
              <w:pStyle w:val="CDITable-RowCentre"/>
            </w:pPr>
            <w:r w:rsidRPr="006D4900">
              <w:t>17/42</w:t>
            </w:r>
          </w:p>
        </w:tc>
        <w:tc>
          <w:tcPr>
            <w:tcW w:w="1352" w:type="dxa"/>
            <w:tcBorders>
              <w:right w:val="single" w:sz="6" w:space="0" w:color="033636" w:themeColor="text2"/>
            </w:tcBorders>
            <w:tcMar>
              <w:top w:w="113" w:type="dxa"/>
              <w:left w:w="113" w:type="dxa"/>
              <w:bottom w:w="113" w:type="dxa"/>
              <w:right w:w="113" w:type="dxa"/>
            </w:tcMar>
            <w:vAlign w:val="center"/>
          </w:tcPr>
          <w:p w14:paraId="6537168D" w14:textId="77777777" w:rsidR="006D4900" w:rsidRPr="006D4900" w:rsidRDefault="006D4900" w:rsidP="006D4900">
            <w:pPr>
              <w:pStyle w:val="CDITable-RowCentre"/>
            </w:pPr>
            <w:r w:rsidRPr="006D4900">
              <w:t>40</w:t>
            </w:r>
          </w:p>
        </w:tc>
        <w:tc>
          <w:tcPr>
            <w:tcW w:w="1351" w:type="dxa"/>
            <w:tcBorders>
              <w:left w:val="single" w:sz="6" w:space="0" w:color="033636" w:themeColor="text2"/>
            </w:tcBorders>
            <w:tcMar>
              <w:top w:w="113" w:type="dxa"/>
              <w:left w:w="113" w:type="dxa"/>
              <w:bottom w:w="113" w:type="dxa"/>
              <w:right w:w="113" w:type="dxa"/>
            </w:tcMar>
            <w:vAlign w:val="center"/>
          </w:tcPr>
          <w:p w14:paraId="0D6905CE" w14:textId="77777777" w:rsidR="006D4900" w:rsidRPr="006D4900" w:rsidRDefault="006D4900" w:rsidP="006D4900">
            <w:pPr>
              <w:pStyle w:val="CDITable-RowCentre"/>
            </w:pPr>
            <w:r w:rsidRPr="006D4900">
              <w:t>6/26</w:t>
            </w:r>
          </w:p>
        </w:tc>
        <w:tc>
          <w:tcPr>
            <w:tcW w:w="1351" w:type="dxa"/>
            <w:tcBorders>
              <w:right w:val="single" w:sz="6" w:space="0" w:color="033636" w:themeColor="text2"/>
            </w:tcBorders>
            <w:tcMar>
              <w:top w:w="113" w:type="dxa"/>
              <w:left w:w="113" w:type="dxa"/>
              <w:bottom w:w="113" w:type="dxa"/>
              <w:right w:w="113" w:type="dxa"/>
            </w:tcMar>
            <w:vAlign w:val="center"/>
          </w:tcPr>
          <w:p w14:paraId="11105681" w14:textId="77777777" w:rsidR="006D4900" w:rsidRPr="006D4900" w:rsidRDefault="006D4900" w:rsidP="006D4900">
            <w:pPr>
              <w:pStyle w:val="CDITable-RowCentre"/>
            </w:pPr>
            <w:r w:rsidRPr="006D4900">
              <w:t>23</w:t>
            </w:r>
          </w:p>
        </w:tc>
        <w:tc>
          <w:tcPr>
            <w:tcW w:w="1351" w:type="dxa"/>
            <w:tcBorders>
              <w:left w:val="single" w:sz="6" w:space="0" w:color="033636" w:themeColor="text2"/>
            </w:tcBorders>
            <w:tcMar>
              <w:top w:w="113" w:type="dxa"/>
              <w:left w:w="113" w:type="dxa"/>
              <w:bottom w:w="113" w:type="dxa"/>
              <w:right w:w="113" w:type="dxa"/>
            </w:tcMar>
            <w:vAlign w:val="center"/>
          </w:tcPr>
          <w:p w14:paraId="3AD33BDA" w14:textId="77777777" w:rsidR="006D4900" w:rsidRPr="006D4900" w:rsidRDefault="006D4900" w:rsidP="006D4900">
            <w:pPr>
              <w:pStyle w:val="CDITable-RowCentre"/>
            </w:pPr>
            <w:r w:rsidRPr="006D4900">
              <w:t>3/7</w:t>
            </w:r>
          </w:p>
        </w:tc>
        <w:tc>
          <w:tcPr>
            <w:tcW w:w="1351" w:type="dxa"/>
            <w:tcMar>
              <w:top w:w="113" w:type="dxa"/>
              <w:left w:w="113" w:type="dxa"/>
              <w:bottom w:w="113" w:type="dxa"/>
              <w:right w:w="113" w:type="dxa"/>
            </w:tcMar>
            <w:vAlign w:val="center"/>
          </w:tcPr>
          <w:p w14:paraId="54ABDB62" w14:textId="77777777" w:rsidR="006D4900" w:rsidRPr="006D4900" w:rsidRDefault="006D4900" w:rsidP="006D4900">
            <w:pPr>
              <w:pStyle w:val="CDITable-RowCentre"/>
            </w:pPr>
            <w:r w:rsidRPr="006D4900">
              <w:t>43</w:t>
            </w:r>
          </w:p>
        </w:tc>
      </w:tr>
      <w:tr w:rsidR="006D4900" w:rsidRPr="006D4900" w14:paraId="316FF466"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4B3AB6E9" w14:textId="77777777" w:rsidR="006D4900" w:rsidRPr="006D4900" w:rsidRDefault="006D4900" w:rsidP="006D4900">
            <w:pPr>
              <w:pStyle w:val="CDITable-RowLeft"/>
            </w:pPr>
          </w:p>
        </w:tc>
        <w:tc>
          <w:tcPr>
            <w:tcW w:w="3118" w:type="dxa"/>
            <w:tcMar>
              <w:top w:w="113" w:type="dxa"/>
              <w:left w:w="113" w:type="dxa"/>
              <w:bottom w:w="113" w:type="dxa"/>
              <w:right w:w="113" w:type="dxa"/>
            </w:tcMar>
            <w:vAlign w:val="center"/>
          </w:tcPr>
          <w:p w14:paraId="2687F511" w14:textId="77777777" w:rsidR="006D4900" w:rsidRPr="006D4900" w:rsidRDefault="006D4900" w:rsidP="006D4900">
            <w:pPr>
              <w:pStyle w:val="CDITable-RowLeft"/>
            </w:pPr>
            <w:r w:rsidRPr="006D4900">
              <w:t>5–9 years</w:t>
            </w:r>
          </w:p>
        </w:tc>
        <w:tc>
          <w:tcPr>
            <w:tcW w:w="1351" w:type="dxa"/>
            <w:tcMar>
              <w:top w:w="113" w:type="dxa"/>
              <w:left w:w="113" w:type="dxa"/>
              <w:bottom w:w="113" w:type="dxa"/>
              <w:right w:w="113" w:type="dxa"/>
            </w:tcMar>
            <w:vAlign w:val="center"/>
          </w:tcPr>
          <w:p w14:paraId="48D160A5" w14:textId="77777777" w:rsidR="006D4900" w:rsidRPr="006D4900" w:rsidRDefault="006D4900" w:rsidP="006D4900">
            <w:pPr>
              <w:pStyle w:val="CDITable-RowCentre"/>
            </w:pPr>
            <w:r w:rsidRPr="006D4900">
              <w:t>19/42</w:t>
            </w:r>
          </w:p>
        </w:tc>
        <w:tc>
          <w:tcPr>
            <w:tcW w:w="1352" w:type="dxa"/>
            <w:tcBorders>
              <w:right w:val="single" w:sz="6" w:space="0" w:color="033636" w:themeColor="text2"/>
            </w:tcBorders>
            <w:tcMar>
              <w:top w:w="113" w:type="dxa"/>
              <w:left w:w="113" w:type="dxa"/>
              <w:bottom w:w="113" w:type="dxa"/>
              <w:right w:w="113" w:type="dxa"/>
            </w:tcMar>
            <w:vAlign w:val="center"/>
          </w:tcPr>
          <w:p w14:paraId="2375811F" w14:textId="77777777" w:rsidR="006D4900" w:rsidRPr="006D4900" w:rsidRDefault="006D4900" w:rsidP="006D4900">
            <w:pPr>
              <w:pStyle w:val="CDITable-RowCentre"/>
            </w:pPr>
            <w:r w:rsidRPr="006D4900">
              <w:t>45</w:t>
            </w:r>
          </w:p>
        </w:tc>
        <w:tc>
          <w:tcPr>
            <w:tcW w:w="1351" w:type="dxa"/>
            <w:tcBorders>
              <w:left w:val="single" w:sz="6" w:space="0" w:color="033636" w:themeColor="text2"/>
            </w:tcBorders>
            <w:tcMar>
              <w:top w:w="113" w:type="dxa"/>
              <w:left w:w="113" w:type="dxa"/>
              <w:bottom w:w="113" w:type="dxa"/>
              <w:right w:w="113" w:type="dxa"/>
            </w:tcMar>
            <w:vAlign w:val="center"/>
          </w:tcPr>
          <w:p w14:paraId="6DE73A4E" w14:textId="77777777" w:rsidR="006D4900" w:rsidRPr="006D4900" w:rsidRDefault="006D4900" w:rsidP="006D4900">
            <w:pPr>
              <w:pStyle w:val="CDITable-RowCentre"/>
            </w:pPr>
            <w:r w:rsidRPr="006D4900">
              <w:t>9/26</w:t>
            </w:r>
          </w:p>
        </w:tc>
        <w:tc>
          <w:tcPr>
            <w:tcW w:w="1351" w:type="dxa"/>
            <w:tcBorders>
              <w:right w:val="single" w:sz="6" w:space="0" w:color="033636" w:themeColor="text2"/>
            </w:tcBorders>
            <w:tcMar>
              <w:top w:w="113" w:type="dxa"/>
              <w:left w:w="113" w:type="dxa"/>
              <w:bottom w:w="113" w:type="dxa"/>
              <w:right w:w="113" w:type="dxa"/>
            </w:tcMar>
            <w:vAlign w:val="center"/>
          </w:tcPr>
          <w:p w14:paraId="5AB4BD71" w14:textId="77777777" w:rsidR="006D4900" w:rsidRPr="006D4900" w:rsidRDefault="006D4900" w:rsidP="006D4900">
            <w:pPr>
              <w:pStyle w:val="CDITable-RowCentre"/>
            </w:pPr>
            <w:r w:rsidRPr="006D4900">
              <w:t>35</w:t>
            </w:r>
          </w:p>
        </w:tc>
        <w:tc>
          <w:tcPr>
            <w:tcW w:w="1351" w:type="dxa"/>
            <w:tcBorders>
              <w:left w:val="single" w:sz="6" w:space="0" w:color="033636" w:themeColor="text2"/>
            </w:tcBorders>
            <w:tcMar>
              <w:top w:w="113" w:type="dxa"/>
              <w:left w:w="113" w:type="dxa"/>
              <w:bottom w:w="113" w:type="dxa"/>
              <w:right w:w="113" w:type="dxa"/>
            </w:tcMar>
            <w:vAlign w:val="center"/>
          </w:tcPr>
          <w:p w14:paraId="62D482AC" w14:textId="77777777" w:rsidR="006D4900" w:rsidRPr="006D4900" w:rsidRDefault="006D4900" w:rsidP="006D4900">
            <w:pPr>
              <w:pStyle w:val="CDITable-RowCentre"/>
            </w:pPr>
            <w:r w:rsidRPr="006D4900">
              <w:t>3/7</w:t>
            </w:r>
          </w:p>
        </w:tc>
        <w:tc>
          <w:tcPr>
            <w:tcW w:w="1351" w:type="dxa"/>
            <w:tcMar>
              <w:top w:w="113" w:type="dxa"/>
              <w:left w:w="113" w:type="dxa"/>
              <w:bottom w:w="113" w:type="dxa"/>
              <w:right w:w="113" w:type="dxa"/>
            </w:tcMar>
            <w:vAlign w:val="center"/>
          </w:tcPr>
          <w:p w14:paraId="0DA5EC89" w14:textId="77777777" w:rsidR="006D4900" w:rsidRPr="006D4900" w:rsidRDefault="006D4900" w:rsidP="006D4900">
            <w:pPr>
              <w:pStyle w:val="CDITable-RowCentre"/>
            </w:pPr>
            <w:r w:rsidRPr="006D4900">
              <w:t>43</w:t>
            </w:r>
          </w:p>
        </w:tc>
      </w:tr>
      <w:tr w:rsidR="006D4900" w:rsidRPr="006D4900" w14:paraId="0FEC1C60"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2EFFC279" w14:textId="77777777" w:rsidR="006D4900" w:rsidRPr="006D4900" w:rsidRDefault="006D4900" w:rsidP="006D4900">
            <w:pPr>
              <w:pStyle w:val="CDITable-RowLeft"/>
            </w:pPr>
          </w:p>
        </w:tc>
        <w:tc>
          <w:tcPr>
            <w:tcW w:w="3118" w:type="dxa"/>
            <w:tcMar>
              <w:top w:w="113" w:type="dxa"/>
              <w:left w:w="113" w:type="dxa"/>
              <w:bottom w:w="113" w:type="dxa"/>
              <w:right w:w="113" w:type="dxa"/>
            </w:tcMar>
            <w:vAlign w:val="center"/>
          </w:tcPr>
          <w:p w14:paraId="24D4787F" w14:textId="77777777" w:rsidR="006D4900" w:rsidRPr="006D4900" w:rsidRDefault="006D4900" w:rsidP="006D4900">
            <w:pPr>
              <w:pStyle w:val="CDITable-RowLeft"/>
            </w:pPr>
            <w:r w:rsidRPr="006D4900">
              <w:t>10–14 years</w:t>
            </w:r>
          </w:p>
        </w:tc>
        <w:tc>
          <w:tcPr>
            <w:tcW w:w="1351" w:type="dxa"/>
            <w:tcMar>
              <w:top w:w="113" w:type="dxa"/>
              <w:left w:w="113" w:type="dxa"/>
              <w:bottom w:w="113" w:type="dxa"/>
              <w:right w:w="113" w:type="dxa"/>
            </w:tcMar>
            <w:vAlign w:val="center"/>
          </w:tcPr>
          <w:p w14:paraId="061F6021" w14:textId="77777777" w:rsidR="006D4900" w:rsidRPr="006D4900" w:rsidRDefault="006D4900" w:rsidP="006D4900">
            <w:pPr>
              <w:pStyle w:val="CDITable-RowCentre"/>
            </w:pPr>
            <w:r w:rsidRPr="006D4900">
              <w:t>5/42</w:t>
            </w:r>
          </w:p>
        </w:tc>
        <w:tc>
          <w:tcPr>
            <w:tcW w:w="1352" w:type="dxa"/>
            <w:tcBorders>
              <w:right w:val="single" w:sz="6" w:space="0" w:color="033636" w:themeColor="text2"/>
            </w:tcBorders>
            <w:tcMar>
              <w:top w:w="113" w:type="dxa"/>
              <w:left w:w="113" w:type="dxa"/>
              <w:bottom w:w="113" w:type="dxa"/>
              <w:right w:w="113" w:type="dxa"/>
            </w:tcMar>
            <w:vAlign w:val="center"/>
          </w:tcPr>
          <w:p w14:paraId="7CB78A1B" w14:textId="77777777" w:rsidR="006D4900" w:rsidRPr="006D4900" w:rsidRDefault="006D4900" w:rsidP="006D4900">
            <w:pPr>
              <w:pStyle w:val="CDITable-RowCentre"/>
            </w:pPr>
            <w:r w:rsidRPr="006D4900">
              <w:t>12</w:t>
            </w:r>
          </w:p>
        </w:tc>
        <w:tc>
          <w:tcPr>
            <w:tcW w:w="1351" w:type="dxa"/>
            <w:tcBorders>
              <w:left w:val="single" w:sz="6" w:space="0" w:color="033636" w:themeColor="text2"/>
            </w:tcBorders>
            <w:tcMar>
              <w:top w:w="113" w:type="dxa"/>
              <w:left w:w="113" w:type="dxa"/>
              <w:bottom w:w="113" w:type="dxa"/>
              <w:right w:w="113" w:type="dxa"/>
            </w:tcMar>
            <w:vAlign w:val="center"/>
          </w:tcPr>
          <w:p w14:paraId="283A2FE3" w14:textId="77777777" w:rsidR="006D4900" w:rsidRPr="006D4900" w:rsidRDefault="006D4900" w:rsidP="006D4900">
            <w:pPr>
              <w:pStyle w:val="CDITable-RowCentre"/>
            </w:pPr>
            <w:r w:rsidRPr="006D4900">
              <w:t>7/26</w:t>
            </w:r>
          </w:p>
        </w:tc>
        <w:tc>
          <w:tcPr>
            <w:tcW w:w="1351" w:type="dxa"/>
            <w:tcBorders>
              <w:right w:val="single" w:sz="6" w:space="0" w:color="033636" w:themeColor="text2"/>
            </w:tcBorders>
            <w:tcMar>
              <w:top w:w="113" w:type="dxa"/>
              <w:left w:w="113" w:type="dxa"/>
              <w:bottom w:w="113" w:type="dxa"/>
              <w:right w:w="113" w:type="dxa"/>
            </w:tcMar>
            <w:vAlign w:val="center"/>
          </w:tcPr>
          <w:p w14:paraId="5B4BD787" w14:textId="77777777" w:rsidR="006D4900" w:rsidRPr="006D4900" w:rsidRDefault="006D4900" w:rsidP="006D4900">
            <w:pPr>
              <w:pStyle w:val="CDITable-RowCentre"/>
            </w:pPr>
            <w:r w:rsidRPr="006D4900">
              <w:t>27</w:t>
            </w:r>
          </w:p>
        </w:tc>
        <w:tc>
          <w:tcPr>
            <w:tcW w:w="1351" w:type="dxa"/>
            <w:tcBorders>
              <w:left w:val="single" w:sz="6" w:space="0" w:color="033636" w:themeColor="text2"/>
            </w:tcBorders>
            <w:tcMar>
              <w:top w:w="113" w:type="dxa"/>
              <w:left w:w="113" w:type="dxa"/>
              <w:bottom w:w="113" w:type="dxa"/>
              <w:right w:w="113" w:type="dxa"/>
            </w:tcMar>
            <w:vAlign w:val="center"/>
          </w:tcPr>
          <w:p w14:paraId="07983B80" w14:textId="77777777" w:rsidR="006D4900" w:rsidRPr="006D4900" w:rsidRDefault="006D4900" w:rsidP="006D4900">
            <w:pPr>
              <w:pStyle w:val="CDITable-RowCentre"/>
            </w:pPr>
            <w:r w:rsidRPr="006D4900">
              <w:t>0/7</w:t>
            </w:r>
          </w:p>
        </w:tc>
        <w:tc>
          <w:tcPr>
            <w:tcW w:w="1351" w:type="dxa"/>
            <w:tcMar>
              <w:top w:w="113" w:type="dxa"/>
              <w:left w:w="113" w:type="dxa"/>
              <w:bottom w:w="113" w:type="dxa"/>
              <w:right w:w="113" w:type="dxa"/>
            </w:tcMar>
            <w:vAlign w:val="center"/>
          </w:tcPr>
          <w:p w14:paraId="762F4EBA" w14:textId="77777777" w:rsidR="006D4900" w:rsidRPr="006D4900" w:rsidRDefault="006D4900" w:rsidP="006D4900">
            <w:pPr>
              <w:pStyle w:val="CDITable-RowCentre"/>
            </w:pPr>
            <w:r w:rsidRPr="006D4900">
              <w:t>0</w:t>
            </w:r>
          </w:p>
        </w:tc>
      </w:tr>
      <w:tr w:rsidR="006D4900" w:rsidRPr="006D4900" w14:paraId="75BF903C"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70094A71" w14:textId="77777777" w:rsidR="006D4900" w:rsidRPr="006D4900" w:rsidRDefault="006D4900" w:rsidP="006D4900">
            <w:pPr>
              <w:pStyle w:val="CDITable-RowLeft"/>
            </w:pPr>
          </w:p>
        </w:tc>
        <w:tc>
          <w:tcPr>
            <w:tcW w:w="3118" w:type="dxa"/>
            <w:tcBorders>
              <w:bottom w:val="single" w:sz="8" w:space="0" w:color="033636" w:themeColor="text2"/>
            </w:tcBorders>
            <w:tcMar>
              <w:top w:w="113" w:type="dxa"/>
              <w:left w:w="113" w:type="dxa"/>
              <w:bottom w:w="113" w:type="dxa"/>
              <w:right w:w="113" w:type="dxa"/>
            </w:tcMar>
            <w:vAlign w:val="center"/>
          </w:tcPr>
          <w:p w14:paraId="2F79BA67" w14:textId="77777777" w:rsidR="006D4900" w:rsidRPr="006D4900" w:rsidRDefault="006D4900" w:rsidP="006D4900">
            <w:pPr>
              <w:pStyle w:val="CDITable-RowLeft"/>
            </w:pPr>
            <w:r w:rsidRPr="006D4900">
              <w:t>15+ years</w:t>
            </w:r>
          </w:p>
        </w:tc>
        <w:tc>
          <w:tcPr>
            <w:tcW w:w="1351" w:type="dxa"/>
            <w:tcBorders>
              <w:bottom w:val="single" w:sz="8" w:space="0" w:color="033636" w:themeColor="text2"/>
            </w:tcBorders>
            <w:tcMar>
              <w:top w:w="113" w:type="dxa"/>
              <w:left w:w="113" w:type="dxa"/>
              <w:bottom w:w="113" w:type="dxa"/>
              <w:right w:w="113" w:type="dxa"/>
            </w:tcMar>
            <w:vAlign w:val="center"/>
          </w:tcPr>
          <w:p w14:paraId="6BF0C3E1" w14:textId="77777777" w:rsidR="006D4900" w:rsidRPr="006D4900" w:rsidRDefault="006D4900" w:rsidP="006D4900">
            <w:pPr>
              <w:pStyle w:val="CDITable-RowCentre"/>
            </w:pPr>
            <w:r w:rsidRPr="006D4900">
              <w:t>1/42</w:t>
            </w:r>
          </w:p>
        </w:tc>
        <w:tc>
          <w:tcPr>
            <w:tcW w:w="1352"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0E976D00" w14:textId="77777777" w:rsidR="006D4900" w:rsidRPr="006D4900" w:rsidRDefault="006D4900" w:rsidP="006D4900">
            <w:pPr>
              <w:pStyle w:val="CDITable-RowCentre"/>
            </w:pPr>
            <w:r w:rsidRPr="006D4900">
              <w:t>2</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623D5FF5" w14:textId="77777777" w:rsidR="006D4900" w:rsidRPr="006D4900" w:rsidRDefault="006D4900" w:rsidP="006D4900">
            <w:pPr>
              <w:pStyle w:val="CDITable-RowCentre"/>
            </w:pPr>
            <w:r w:rsidRPr="006D4900">
              <w:t>4/26</w:t>
            </w:r>
          </w:p>
        </w:tc>
        <w:tc>
          <w:tcPr>
            <w:tcW w:w="1351"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6797145E" w14:textId="77777777" w:rsidR="006D4900" w:rsidRPr="006D4900" w:rsidRDefault="006D4900" w:rsidP="006D4900">
            <w:pPr>
              <w:pStyle w:val="CDITable-RowCentre"/>
            </w:pPr>
            <w:r w:rsidRPr="006D4900">
              <w:t>15</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29F5363D" w14:textId="77777777" w:rsidR="006D4900" w:rsidRPr="006D4900" w:rsidRDefault="006D4900" w:rsidP="006D4900">
            <w:pPr>
              <w:pStyle w:val="CDITable-RowCentre"/>
            </w:pPr>
            <w:r w:rsidRPr="006D4900">
              <w:t>1/7</w:t>
            </w:r>
          </w:p>
        </w:tc>
        <w:tc>
          <w:tcPr>
            <w:tcW w:w="1351" w:type="dxa"/>
            <w:tcBorders>
              <w:bottom w:val="single" w:sz="8" w:space="0" w:color="033636" w:themeColor="text2"/>
            </w:tcBorders>
            <w:tcMar>
              <w:top w:w="113" w:type="dxa"/>
              <w:left w:w="113" w:type="dxa"/>
              <w:bottom w:w="113" w:type="dxa"/>
              <w:right w:w="113" w:type="dxa"/>
            </w:tcMar>
            <w:vAlign w:val="center"/>
          </w:tcPr>
          <w:p w14:paraId="3F2E7EB4" w14:textId="77777777" w:rsidR="006D4900" w:rsidRPr="006D4900" w:rsidRDefault="006D4900" w:rsidP="006D4900">
            <w:pPr>
              <w:pStyle w:val="CDITable-RowCentre"/>
            </w:pPr>
            <w:r w:rsidRPr="006D4900">
              <w:t>14</w:t>
            </w:r>
          </w:p>
        </w:tc>
      </w:tr>
      <w:tr w:rsidR="006D4900" w:rsidRPr="006D4900" w14:paraId="5B87AF48" w14:textId="77777777" w:rsidTr="00400DB8">
        <w:trPr>
          <w:divId w:val="935526654"/>
          <w:trHeight w:val="20"/>
        </w:trPr>
        <w:tc>
          <w:tcPr>
            <w:tcW w:w="3118"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510D4DA0" w14:textId="77777777" w:rsidR="006D4900" w:rsidRPr="006D4900" w:rsidRDefault="006D4900" w:rsidP="006D4900">
            <w:pPr>
              <w:pStyle w:val="CDITable-RowLeft"/>
            </w:pPr>
            <w:r w:rsidRPr="006D4900">
              <w:t>First Nations status</w:t>
            </w:r>
          </w:p>
        </w:tc>
        <w:tc>
          <w:tcPr>
            <w:tcW w:w="3118" w:type="dxa"/>
            <w:tcBorders>
              <w:top w:val="single" w:sz="8" w:space="0" w:color="033636" w:themeColor="text2"/>
            </w:tcBorders>
            <w:tcMar>
              <w:top w:w="113" w:type="dxa"/>
              <w:left w:w="113" w:type="dxa"/>
              <w:bottom w:w="113" w:type="dxa"/>
              <w:right w:w="113" w:type="dxa"/>
            </w:tcMar>
            <w:vAlign w:val="center"/>
          </w:tcPr>
          <w:p w14:paraId="0667C879" w14:textId="77777777" w:rsidR="006D4900" w:rsidRPr="006D4900" w:rsidRDefault="006D4900" w:rsidP="006D4900">
            <w:pPr>
              <w:pStyle w:val="CDITable-RowLeft"/>
            </w:pPr>
            <w:r w:rsidRPr="006D4900">
              <w:t>Aboriginal</w:t>
            </w:r>
          </w:p>
        </w:tc>
        <w:tc>
          <w:tcPr>
            <w:tcW w:w="1351" w:type="dxa"/>
            <w:tcBorders>
              <w:top w:val="single" w:sz="8" w:space="0" w:color="033636" w:themeColor="text2"/>
            </w:tcBorders>
            <w:tcMar>
              <w:top w:w="113" w:type="dxa"/>
              <w:left w:w="113" w:type="dxa"/>
              <w:bottom w:w="113" w:type="dxa"/>
              <w:right w:w="113" w:type="dxa"/>
            </w:tcMar>
            <w:vAlign w:val="center"/>
          </w:tcPr>
          <w:p w14:paraId="56827929" w14:textId="77777777" w:rsidR="006D4900" w:rsidRPr="006D4900" w:rsidRDefault="006D4900" w:rsidP="006D4900">
            <w:pPr>
              <w:pStyle w:val="CDITable-RowCentre"/>
            </w:pPr>
            <w:r w:rsidRPr="006D4900">
              <w:t>14/42</w:t>
            </w:r>
          </w:p>
        </w:tc>
        <w:tc>
          <w:tcPr>
            <w:tcW w:w="1352"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666F045E" w14:textId="77777777" w:rsidR="006D4900" w:rsidRPr="006D4900" w:rsidRDefault="006D4900" w:rsidP="006D4900">
            <w:pPr>
              <w:pStyle w:val="CDITable-RowCentre"/>
            </w:pPr>
            <w:r w:rsidRPr="006D4900">
              <w:t>33</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4C076842" w14:textId="77777777" w:rsidR="006D4900" w:rsidRPr="006D4900" w:rsidRDefault="006D4900" w:rsidP="006D4900">
            <w:pPr>
              <w:pStyle w:val="CDITable-RowCentre"/>
            </w:pPr>
            <w:r w:rsidRPr="006D4900">
              <w:t>5/26</w:t>
            </w:r>
          </w:p>
        </w:tc>
        <w:tc>
          <w:tcPr>
            <w:tcW w:w="1351"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53378B36" w14:textId="77777777" w:rsidR="006D4900" w:rsidRPr="006D4900" w:rsidRDefault="006D4900" w:rsidP="006D4900">
            <w:pPr>
              <w:pStyle w:val="CDITable-RowCentre"/>
            </w:pPr>
            <w:r w:rsidRPr="006D4900">
              <w:t>19</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14E46B4A" w14:textId="77777777" w:rsidR="006D4900" w:rsidRPr="006D4900" w:rsidRDefault="006D4900" w:rsidP="006D4900">
            <w:pPr>
              <w:pStyle w:val="CDITable-RowCentre"/>
            </w:pPr>
            <w:r w:rsidRPr="006D4900">
              <w:t>2/7</w:t>
            </w:r>
          </w:p>
        </w:tc>
        <w:tc>
          <w:tcPr>
            <w:tcW w:w="1351" w:type="dxa"/>
            <w:tcBorders>
              <w:top w:val="single" w:sz="8" w:space="0" w:color="033636" w:themeColor="text2"/>
            </w:tcBorders>
            <w:tcMar>
              <w:top w:w="113" w:type="dxa"/>
              <w:left w:w="113" w:type="dxa"/>
              <w:bottom w:w="113" w:type="dxa"/>
              <w:right w:w="113" w:type="dxa"/>
            </w:tcMar>
            <w:vAlign w:val="center"/>
          </w:tcPr>
          <w:p w14:paraId="19F4B31A" w14:textId="77777777" w:rsidR="006D4900" w:rsidRPr="006D4900" w:rsidRDefault="006D4900" w:rsidP="006D4900">
            <w:pPr>
              <w:pStyle w:val="CDITable-RowCentre"/>
            </w:pPr>
            <w:r w:rsidRPr="006D4900">
              <w:t>29</w:t>
            </w:r>
          </w:p>
        </w:tc>
      </w:tr>
      <w:tr w:rsidR="006D4900" w:rsidRPr="006D4900" w14:paraId="6F9BC8AD"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7F5C37E4" w14:textId="77777777" w:rsidR="006D4900" w:rsidRPr="006D4900" w:rsidRDefault="006D4900" w:rsidP="006D4900">
            <w:pPr>
              <w:pStyle w:val="CDITable-RowLeft"/>
            </w:pPr>
          </w:p>
        </w:tc>
        <w:tc>
          <w:tcPr>
            <w:tcW w:w="3118" w:type="dxa"/>
            <w:tcMar>
              <w:top w:w="113" w:type="dxa"/>
              <w:left w:w="113" w:type="dxa"/>
              <w:bottom w:w="113" w:type="dxa"/>
              <w:right w:w="113" w:type="dxa"/>
            </w:tcMar>
            <w:vAlign w:val="center"/>
          </w:tcPr>
          <w:p w14:paraId="0FD924C3" w14:textId="77777777" w:rsidR="006D4900" w:rsidRPr="006D4900" w:rsidRDefault="006D4900" w:rsidP="006D4900">
            <w:pPr>
              <w:pStyle w:val="CDITable-RowLeft"/>
            </w:pPr>
            <w:r w:rsidRPr="006D4900">
              <w:t>Torres Strait Islander</w:t>
            </w:r>
          </w:p>
        </w:tc>
        <w:tc>
          <w:tcPr>
            <w:tcW w:w="1351" w:type="dxa"/>
            <w:tcMar>
              <w:top w:w="113" w:type="dxa"/>
              <w:left w:w="113" w:type="dxa"/>
              <w:bottom w:w="113" w:type="dxa"/>
              <w:right w:w="113" w:type="dxa"/>
            </w:tcMar>
            <w:vAlign w:val="center"/>
          </w:tcPr>
          <w:p w14:paraId="1863F4EE" w14:textId="77777777" w:rsidR="006D4900" w:rsidRPr="006D4900" w:rsidRDefault="006D4900" w:rsidP="006D4900">
            <w:pPr>
              <w:pStyle w:val="CDITable-RowCentre"/>
            </w:pPr>
            <w:r w:rsidRPr="006D4900">
              <w:t>20/42</w:t>
            </w:r>
          </w:p>
        </w:tc>
        <w:tc>
          <w:tcPr>
            <w:tcW w:w="1352" w:type="dxa"/>
            <w:tcBorders>
              <w:right w:val="single" w:sz="6" w:space="0" w:color="033636" w:themeColor="text2"/>
            </w:tcBorders>
            <w:tcMar>
              <w:top w:w="113" w:type="dxa"/>
              <w:left w:w="113" w:type="dxa"/>
              <w:bottom w:w="113" w:type="dxa"/>
              <w:right w:w="113" w:type="dxa"/>
            </w:tcMar>
            <w:vAlign w:val="center"/>
          </w:tcPr>
          <w:p w14:paraId="4DB808C1" w14:textId="77777777" w:rsidR="006D4900" w:rsidRPr="006D4900" w:rsidRDefault="006D4900" w:rsidP="006D4900">
            <w:pPr>
              <w:pStyle w:val="CDITable-RowCentre"/>
            </w:pPr>
            <w:r w:rsidRPr="006D4900">
              <w:t>48</w:t>
            </w:r>
          </w:p>
        </w:tc>
        <w:tc>
          <w:tcPr>
            <w:tcW w:w="1351" w:type="dxa"/>
            <w:tcBorders>
              <w:left w:val="single" w:sz="6" w:space="0" w:color="033636" w:themeColor="text2"/>
            </w:tcBorders>
            <w:tcMar>
              <w:top w:w="113" w:type="dxa"/>
              <w:left w:w="113" w:type="dxa"/>
              <w:bottom w:w="113" w:type="dxa"/>
              <w:right w:w="113" w:type="dxa"/>
            </w:tcMar>
            <w:vAlign w:val="center"/>
          </w:tcPr>
          <w:p w14:paraId="2834BA18" w14:textId="77777777" w:rsidR="006D4900" w:rsidRPr="006D4900" w:rsidRDefault="006D4900" w:rsidP="006D4900">
            <w:pPr>
              <w:pStyle w:val="CDITable-RowCentre"/>
            </w:pPr>
            <w:r w:rsidRPr="006D4900">
              <w:t>11/26</w:t>
            </w:r>
          </w:p>
        </w:tc>
        <w:tc>
          <w:tcPr>
            <w:tcW w:w="1351" w:type="dxa"/>
            <w:tcBorders>
              <w:right w:val="single" w:sz="6" w:space="0" w:color="033636" w:themeColor="text2"/>
            </w:tcBorders>
            <w:tcMar>
              <w:top w:w="113" w:type="dxa"/>
              <w:left w:w="113" w:type="dxa"/>
              <w:bottom w:w="113" w:type="dxa"/>
              <w:right w:w="113" w:type="dxa"/>
            </w:tcMar>
            <w:vAlign w:val="center"/>
          </w:tcPr>
          <w:p w14:paraId="09D3E65E" w14:textId="77777777" w:rsidR="006D4900" w:rsidRPr="006D4900" w:rsidRDefault="006D4900" w:rsidP="006D4900">
            <w:pPr>
              <w:pStyle w:val="CDITable-RowCentre"/>
            </w:pPr>
            <w:r w:rsidRPr="006D4900">
              <w:t>42</w:t>
            </w:r>
          </w:p>
        </w:tc>
        <w:tc>
          <w:tcPr>
            <w:tcW w:w="1351" w:type="dxa"/>
            <w:tcBorders>
              <w:left w:val="single" w:sz="6" w:space="0" w:color="033636" w:themeColor="text2"/>
            </w:tcBorders>
            <w:tcMar>
              <w:top w:w="113" w:type="dxa"/>
              <w:left w:w="113" w:type="dxa"/>
              <w:bottom w:w="113" w:type="dxa"/>
              <w:right w:w="113" w:type="dxa"/>
            </w:tcMar>
            <w:vAlign w:val="center"/>
          </w:tcPr>
          <w:p w14:paraId="213947BE" w14:textId="77777777" w:rsidR="006D4900" w:rsidRPr="006D4900" w:rsidRDefault="006D4900" w:rsidP="006D4900">
            <w:pPr>
              <w:pStyle w:val="CDITable-RowCentre"/>
            </w:pPr>
            <w:r w:rsidRPr="006D4900">
              <w:t>3/7</w:t>
            </w:r>
          </w:p>
        </w:tc>
        <w:tc>
          <w:tcPr>
            <w:tcW w:w="1351" w:type="dxa"/>
            <w:tcMar>
              <w:top w:w="113" w:type="dxa"/>
              <w:left w:w="113" w:type="dxa"/>
              <w:bottom w:w="113" w:type="dxa"/>
              <w:right w:w="113" w:type="dxa"/>
            </w:tcMar>
            <w:vAlign w:val="center"/>
          </w:tcPr>
          <w:p w14:paraId="2D820237" w14:textId="77777777" w:rsidR="006D4900" w:rsidRPr="006D4900" w:rsidRDefault="006D4900" w:rsidP="006D4900">
            <w:pPr>
              <w:pStyle w:val="CDITable-RowCentre"/>
            </w:pPr>
            <w:r w:rsidRPr="006D4900">
              <w:t>43</w:t>
            </w:r>
          </w:p>
        </w:tc>
      </w:tr>
      <w:tr w:rsidR="006D4900" w:rsidRPr="006D4900" w14:paraId="452FDD95"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466E86BD" w14:textId="77777777" w:rsidR="006D4900" w:rsidRPr="006D4900" w:rsidRDefault="006D4900" w:rsidP="006D4900">
            <w:pPr>
              <w:pStyle w:val="CDITable-RowLeft"/>
            </w:pPr>
          </w:p>
        </w:tc>
        <w:tc>
          <w:tcPr>
            <w:tcW w:w="3118" w:type="dxa"/>
            <w:tcMar>
              <w:top w:w="113" w:type="dxa"/>
              <w:left w:w="113" w:type="dxa"/>
              <w:bottom w:w="113" w:type="dxa"/>
              <w:right w:w="113" w:type="dxa"/>
            </w:tcMar>
            <w:vAlign w:val="center"/>
          </w:tcPr>
          <w:p w14:paraId="1933DE19" w14:textId="77777777" w:rsidR="006D4900" w:rsidRPr="006D4900" w:rsidRDefault="006D4900" w:rsidP="006D4900">
            <w:pPr>
              <w:pStyle w:val="CDITable-RowLeft"/>
            </w:pPr>
            <w:r w:rsidRPr="006D4900">
              <w:t>Aboriginal and Torres Strait Islander</w:t>
            </w:r>
          </w:p>
        </w:tc>
        <w:tc>
          <w:tcPr>
            <w:tcW w:w="1351" w:type="dxa"/>
            <w:tcMar>
              <w:top w:w="113" w:type="dxa"/>
              <w:left w:w="113" w:type="dxa"/>
              <w:bottom w:w="113" w:type="dxa"/>
              <w:right w:w="113" w:type="dxa"/>
            </w:tcMar>
            <w:vAlign w:val="center"/>
          </w:tcPr>
          <w:p w14:paraId="75DC2BF6" w14:textId="77777777" w:rsidR="006D4900" w:rsidRPr="006D4900" w:rsidRDefault="006D4900" w:rsidP="006D4900">
            <w:pPr>
              <w:pStyle w:val="CDITable-RowCentre"/>
            </w:pPr>
            <w:r w:rsidRPr="006D4900">
              <w:t>8/42</w:t>
            </w:r>
          </w:p>
        </w:tc>
        <w:tc>
          <w:tcPr>
            <w:tcW w:w="1352" w:type="dxa"/>
            <w:tcBorders>
              <w:right w:val="single" w:sz="6" w:space="0" w:color="033636" w:themeColor="text2"/>
            </w:tcBorders>
            <w:tcMar>
              <w:top w:w="113" w:type="dxa"/>
              <w:left w:w="113" w:type="dxa"/>
              <w:bottom w:w="113" w:type="dxa"/>
              <w:right w:w="113" w:type="dxa"/>
            </w:tcMar>
            <w:vAlign w:val="center"/>
          </w:tcPr>
          <w:p w14:paraId="1A8F7621" w14:textId="77777777" w:rsidR="006D4900" w:rsidRPr="006D4900" w:rsidRDefault="006D4900" w:rsidP="006D4900">
            <w:pPr>
              <w:pStyle w:val="CDITable-RowCentre"/>
            </w:pPr>
            <w:r w:rsidRPr="006D4900">
              <w:t>19</w:t>
            </w:r>
          </w:p>
        </w:tc>
        <w:tc>
          <w:tcPr>
            <w:tcW w:w="1351" w:type="dxa"/>
            <w:tcBorders>
              <w:left w:val="single" w:sz="6" w:space="0" w:color="033636" w:themeColor="text2"/>
            </w:tcBorders>
            <w:tcMar>
              <w:top w:w="113" w:type="dxa"/>
              <w:left w:w="113" w:type="dxa"/>
              <w:bottom w:w="113" w:type="dxa"/>
              <w:right w:w="113" w:type="dxa"/>
            </w:tcMar>
            <w:vAlign w:val="center"/>
          </w:tcPr>
          <w:p w14:paraId="0CB389E9" w14:textId="77777777" w:rsidR="006D4900" w:rsidRPr="006D4900" w:rsidRDefault="006D4900" w:rsidP="006D4900">
            <w:pPr>
              <w:pStyle w:val="CDITable-RowCentre"/>
            </w:pPr>
            <w:r w:rsidRPr="006D4900">
              <w:t>10/26</w:t>
            </w:r>
          </w:p>
        </w:tc>
        <w:tc>
          <w:tcPr>
            <w:tcW w:w="1351" w:type="dxa"/>
            <w:tcBorders>
              <w:right w:val="single" w:sz="6" w:space="0" w:color="033636" w:themeColor="text2"/>
            </w:tcBorders>
            <w:tcMar>
              <w:top w:w="113" w:type="dxa"/>
              <w:left w:w="113" w:type="dxa"/>
              <w:bottom w:w="113" w:type="dxa"/>
              <w:right w:w="113" w:type="dxa"/>
            </w:tcMar>
            <w:vAlign w:val="center"/>
          </w:tcPr>
          <w:p w14:paraId="5EBE72C7" w14:textId="77777777" w:rsidR="006D4900" w:rsidRPr="006D4900" w:rsidRDefault="006D4900" w:rsidP="006D4900">
            <w:pPr>
              <w:pStyle w:val="CDITable-RowCentre"/>
            </w:pPr>
            <w:r w:rsidRPr="006D4900">
              <w:t>38</w:t>
            </w:r>
          </w:p>
        </w:tc>
        <w:tc>
          <w:tcPr>
            <w:tcW w:w="1351" w:type="dxa"/>
            <w:tcBorders>
              <w:left w:val="single" w:sz="6" w:space="0" w:color="033636" w:themeColor="text2"/>
            </w:tcBorders>
            <w:tcMar>
              <w:top w:w="113" w:type="dxa"/>
              <w:left w:w="113" w:type="dxa"/>
              <w:bottom w:w="113" w:type="dxa"/>
              <w:right w:w="113" w:type="dxa"/>
            </w:tcMar>
            <w:vAlign w:val="center"/>
          </w:tcPr>
          <w:p w14:paraId="4B4632E7" w14:textId="77777777" w:rsidR="006D4900" w:rsidRPr="006D4900" w:rsidRDefault="006D4900" w:rsidP="006D4900">
            <w:pPr>
              <w:pStyle w:val="CDITable-RowCentre"/>
            </w:pPr>
            <w:r w:rsidRPr="006D4900">
              <w:t>2/7</w:t>
            </w:r>
          </w:p>
        </w:tc>
        <w:tc>
          <w:tcPr>
            <w:tcW w:w="1351" w:type="dxa"/>
            <w:tcMar>
              <w:top w:w="113" w:type="dxa"/>
              <w:left w:w="113" w:type="dxa"/>
              <w:bottom w:w="113" w:type="dxa"/>
              <w:right w:w="113" w:type="dxa"/>
            </w:tcMar>
            <w:vAlign w:val="center"/>
          </w:tcPr>
          <w:p w14:paraId="5F1BB65C" w14:textId="77777777" w:rsidR="006D4900" w:rsidRPr="006D4900" w:rsidRDefault="006D4900" w:rsidP="006D4900">
            <w:pPr>
              <w:pStyle w:val="CDITable-RowCentre"/>
            </w:pPr>
            <w:r w:rsidRPr="006D4900">
              <w:t>29</w:t>
            </w:r>
          </w:p>
        </w:tc>
      </w:tr>
      <w:tr w:rsidR="006D4900" w:rsidRPr="006D4900" w14:paraId="6EDC662B"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58548820" w14:textId="77777777" w:rsidR="006D4900" w:rsidRPr="006D4900" w:rsidRDefault="006D4900" w:rsidP="006D4900">
            <w:pPr>
              <w:pStyle w:val="CDITable-RowLeft"/>
            </w:pPr>
          </w:p>
        </w:tc>
        <w:tc>
          <w:tcPr>
            <w:tcW w:w="3118" w:type="dxa"/>
            <w:tcBorders>
              <w:bottom w:val="single" w:sz="8" w:space="0" w:color="033636" w:themeColor="text2"/>
            </w:tcBorders>
            <w:tcMar>
              <w:top w:w="113" w:type="dxa"/>
              <w:left w:w="113" w:type="dxa"/>
              <w:bottom w:w="113" w:type="dxa"/>
              <w:right w:w="113" w:type="dxa"/>
            </w:tcMar>
            <w:vAlign w:val="center"/>
          </w:tcPr>
          <w:p w14:paraId="3DF71C27" w14:textId="77777777" w:rsidR="006D4900" w:rsidRPr="006D4900" w:rsidRDefault="006D4900" w:rsidP="006D4900">
            <w:pPr>
              <w:pStyle w:val="CDITable-RowLeft"/>
            </w:pPr>
            <w:r w:rsidRPr="006D4900">
              <w:t>non-First Nations</w:t>
            </w:r>
          </w:p>
        </w:tc>
        <w:tc>
          <w:tcPr>
            <w:tcW w:w="1351" w:type="dxa"/>
            <w:tcBorders>
              <w:bottom w:val="single" w:sz="8" w:space="0" w:color="033636" w:themeColor="text2"/>
            </w:tcBorders>
            <w:tcMar>
              <w:top w:w="113" w:type="dxa"/>
              <w:left w:w="113" w:type="dxa"/>
              <w:bottom w:w="113" w:type="dxa"/>
              <w:right w:w="113" w:type="dxa"/>
            </w:tcMar>
            <w:vAlign w:val="center"/>
          </w:tcPr>
          <w:p w14:paraId="4BFFC68E" w14:textId="77777777" w:rsidR="006D4900" w:rsidRPr="006D4900" w:rsidRDefault="006D4900" w:rsidP="006D4900">
            <w:pPr>
              <w:pStyle w:val="CDITable-RowCentre"/>
            </w:pPr>
            <w:r w:rsidRPr="006D4900">
              <w:t>0/42</w:t>
            </w:r>
          </w:p>
        </w:tc>
        <w:tc>
          <w:tcPr>
            <w:tcW w:w="1352"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2E710CE1" w14:textId="77777777" w:rsidR="006D4900" w:rsidRPr="006D4900" w:rsidRDefault="006D4900" w:rsidP="006D4900">
            <w:pPr>
              <w:pStyle w:val="CDITable-RowCentre"/>
            </w:pPr>
            <w:r w:rsidRPr="006D4900">
              <w:t>0</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4207DEAB" w14:textId="77777777" w:rsidR="006D4900" w:rsidRPr="006D4900" w:rsidRDefault="006D4900" w:rsidP="006D4900">
            <w:pPr>
              <w:pStyle w:val="CDITable-RowCentre"/>
            </w:pPr>
            <w:r w:rsidRPr="006D4900">
              <w:t>0/26</w:t>
            </w:r>
          </w:p>
        </w:tc>
        <w:tc>
          <w:tcPr>
            <w:tcW w:w="1351"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42F6122C" w14:textId="77777777" w:rsidR="006D4900" w:rsidRPr="006D4900" w:rsidRDefault="006D4900" w:rsidP="006D4900">
            <w:pPr>
              <w:pStyle w:val="CDITable-RowCentre"/>
            </w:pPr>
            <w:r w:rsidRPr="006D4900">
              <w:t>0</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752409D5" w14:textId="77777777" w:rsidR="006D4900" w:rsidRPr="006D4900" w:rsidRDefault="006D4900" w:rsidP="006D4900">
            <w:pPr>
              <w:pStyle w:val="CDITable-RowCentre"/>
            </w:pPr>
            <w:r w:rsidRPr="006D4900">
              <w:t>0/7</w:t>
            </w:r>
          </w:p>
        </w:tc>
        <w:tc>
          <w:tcPr>
            <w:tcW w:w="1351" w:type="dxa"/>
            <w:tcBorders>
              <w:bottom w:val="single" w:sz="8" w:space="0" w:color="033636" w:themeColor="text2"/>
            </w:tcBorders>
            <w:tcMar>
              <w:top w:w="113" w:type="dxa"/>
              <w:left w:w="113" w:type="dxa"/>
              <w:bottom w:w="113" w:type="dxa"/>
              <w:right w:w="113" w:type="dxa"/>
            </w:tcMar>
            <w:vAlign w:val="center"/>
          </w:tcPr>
          <w:p w14:paraId="029A2725" w14:textId="77777777" w:rsidR="006D4900" w:rsidRPr="006D4900" w:rsidRDefault="006D4900" w:rsidP="006D4900">
            <w:pPr>
              <w:pStyle w:val="CDITable-RowCentre"/>
            </w:pPr>
            <w:r w:rsidRPr="006D4900">
              <w:t>0</w:t>
            </w:r>
          </w:p>
        </w:tc>
      </w:tr>
      <w:tr w:rsidR="006D4900" w:rsidRPr="006D4900" w14:paraId="4CE8B0F8" w14:textId="77777777" w:rsidTr="00400DB8">
        <w:trPr>
          <w:divId w:val="935526654"/>
          <w:trHeight w:val="20"/>
        </w:trPr>
        <w:tc>
          <w:tcPr>
            <w:tcW w:w="3118"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18487484" w14:textId="77777777" w:rsidR="006D4900" w:rsidRPr="006D4900" w:rsidRDefault="006D4900" w:rsidP="006D4900">
            <w:pPr>
              <w:pStyle w:val="CDITable-RowLeft"/>
            </w:pPr>
            <w:r w:rsidRPr="006D4900">
              <w:t>Clinical criteria</w:t>
            </w:r>
          </w:p>
        </w:tc>
        <w:tc>
          <w:tcPr>
            <w:tcW w:w="3118" w:type="dxa"/>
            <w:tcBorders>
              <w:top w:val="single" w:sz="8" w:space="0" w:color="033636" w:themeColor="text2"/>
            </w:tcBorders>
            <w:tcMar>
              <w:top w:w="113" w:type="dxa"/>
              <w:left w:w="113" w:type="dxa"/>
              <w:bottom w:w="113" w:type="dxa"/>
              <w:right w:w="113" w:type="dxa"/>
            </w:tcMar>
            <w:vAlign w:val="center"/>
          </w:tcPr>
          <w:p w14:paraId="2EAA9DEF" w14:textId="77777777" w:rsidR="006D4900" w:rsidRPr="006D4900" w:rsidRDefault="006D4900" w:rsidP="006D4900">
            <w:pPr>
              <w:pStyle w:val="CDITable-RowLeft"/>
            </w:pPr>
            <w:r w:rsidRPr="006D4900">
              <w:t>Macroscopic haematuria</w:t>
            </w:r>
            <w:r w:rsidRPr="00400DB8">
              <w:rPr>
                <w:vertAlign w:val="superscript"/>
              </w:rPr>
              <w:t>a</w:t>
            </w:r>
          </w:p>
        </w:tc>
        <w:tc>
          <w:tcPr>
            <w:tcW w:w="1351" w:type="dxa"/>
            <w:tcBorders>
              <w:top w:val="single" w:sz="8" w:space="0" w:color="033636" w:themeColor="text2"/>
            </w:tcBorders>
            <w:tcMar>
              <w:top w:w="113" w:type="dxa"/>
              <w:left w:w="113" w:type="dxa"/>
              <w:bottom w:w="113" w:type="dxa"/>
              <w:right w:w="113" w:type="dxa"/>
            </w:tcMar>
            <w:vAlign w:val="center"/>
          </w:tcPr>
          <w:p w14:paraId="62799338" w14:textId="77777777" w:rsidR="006D4900" w:rsidRPr="006D4900" w:rsidRDefault="006D4900" w:rsidP="006D4900">
            <w:pPr>
              <w:pStyle w:val="CDITable-RowCentre"/>
            </w:pPr>
            <w:r w:rsidRPr="006D4900">
              <w:t>40/42</w:t>
            </w:r>
          </w:p>
        </w:tc>
        <w:tc>
          <w:tcPr>
            <w:tcW w:w="1352"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6D11AA6D" w14:textId="77777777" w:rsidR="006D4900" w:rsidRPr="006D4900" w:rsidRDefault="006D4900" w:rsidP="006D4900">
            <w:pPr>
              <w:pStyle w:val="CDITable-RowCentre"/>
            </w:pPr>
            <w:r w:rsidRPr="006D4900">
              <w:t>95</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59C404B1" w14:textId="77777777" w:rsidR="006D4900" w:rsidRPr="006D4900" w:rsidRDefault="006D4900" w:rsidP="006D4900">
            <w:pPr>
              <w:pStyle w:val="CDITable-RowCentre"/>
            </w:pPr>
            <w:r w:rsidRPr="006D4900">
              <w:t>21/26</w:t>
            </w:r>
          </w:p>
        </w:tc>
        <w:tc>
          <w:tcPr>
            <w:tcW w:w="1351"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4FF4E61F" w14:textId="77777777" w:rsidR="006D4900" w:rsidRPr="006D4900" w:rsidRDefault="006D4900" w:rsidP="006D4900">
            <w:pPr>
              <w:pStyle w:val="CDITable-RowCentre"/>
            </w:pPr>
            <w:r w:rsidRPr="006D4900">
              <w:t>81</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012D1BB7" w14:textId="77777777" w:rsidR="006D4900" w:rsidRPr="006D4900" w:rsidRDefault="006D4900" w:rsidP="006D4900">
            <w:pPr>
              <w:pStyle w:val="CDITable-RowCentre"/>
            </w:pPr>
            <w:r w:rsidRPr="006D4900">
              <w:t>6/7</w:t>
            </w:r>
          </w:p>
        </w:tc>
        <w:tc>
          <w:tcPr>
            <w:tcW w:w="1351" w:type="dxa"/>
            <w:tcBorders>
              <w:top w:val="single" w:sz="8" w:space="0" w:color="033636" w:themeColor="text2"/>
            </w:tcBorders>
            <w:tcMar>
              <w:top w:w="113" w:type="dxa"/>
              <w:left w:w="113" w:type="dxa"/>
              <w:bottom w:w="113" w:type="dxa"/>
              <w:right w:w="113" w:type="dxa"/>
            </w:tcMar>
            <w:vAlign w:val="center"/>
          </w:tcPr>
          <w:p w14:paraId="3A8CF6E6" w14:textId="77777777" w:rsidR="006D4900" w:rsidRPr="006D4900" w:rsidRDefault="006D4900" w:rsidP="006D4900">
            <w:pPr>
              <w:pStyle w:val="CDITable-RowCentre"/>
            </w:pPr>
            <w:r w:rsidRPr="006D4900">
              <w:t>86</w:t>
            </w:r>
          </w:p>
        </w:tc>
      </w:tr>
      <w:tr w:rsidR="006D4900" w:rsidRPr="006D4900" w14:paraId="76840E0A"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15D9F01D" w14:textId="77777777" w:rsidR="006D4900" w:rsidRPr="006D4900" w:rsidRDefault="006D4900" w:rsidP="006D4900">
            <w:pPr>
              <w:pStyle w:val="CDITable-RowLeft"/>
            </w:pPr>
          </w:p>
        </w:tc>
        <w:tc>
          <w:tcPr>
            <w:tcW w:w="3118" w:type="dxa"/>
            <w:tcMar>
              <w:top w:w="113" w:type="dxa"/>
              <w:left w:w="113" w:type="dxa"/>
              <w:bottom w:w="113" w:type="dxa"/>
              <w:right w:w="113" w:type="dxa"/>
            </w:tcMar>
            <w:vAlign w:val="center"/>
          </w:tcPr>
          <w:p w14:paraId="64DD5017" w14:textId="77777777" w:rsidR="006D4900" w:rsidRPr="006D4900" w:rsidRDefault="006D4900" w:rsidP="006D4900">
            <w:pPr>
              <w:pStyle w:val="CDITable-RowLeft"/>
            </w:pPr>
            <w:r w:rsidRPr="006D4900">
              <w:t>Hypertension</w:t>
            </w:r>
          </w:p>
        </w:tc>
        <w:tc>
          <w:tcPr>
            <w:tcW w:w="1351" w:type="dxa"/>
            <w:tcMar>
              <w:top w:w="113" w:type="dxa"/>
              <w:left w:w="113" w:type="dxa"/>
              <w:bottom w:w="113" w:type="dxa"/>
              <w:right w:w="113" w:type="dxa"/>
            </w:tcMar>
            <w:vAlign w:val="center"/>
          </w:tcPr>
          <w:p w14:paraId="19566E1B" w14:textId="77777777" w:rsidR="006D4900" w:rsidRPr="006D4900" w:rsidRDefault="006D4900" w:rsidP="006D4900">
            <w:pPr>
              <w:pStyle w:val="CDITable-RowCentre"/>
            </w:pPr>
            <w:r w:rsidRPr="006D4900">
              <w:t>36/42</w:t>
            </w:r>
          </w:p>
        </w:tc>
        <w:tc>
          <w:tcPr>
            <w:tcW w:w="1352" w:type="dxa"/>
            <w:tcBorders>
              <w:right w:val="single" w:sz="6" w:space="0" w:color="033636" w:themeColor="text2"/>
            </w:tcBorders>
            <w:tcMar>
              <w:top w:w="113" w:type="dxa"/>
              <w:left w:w="113" w:type="dxa"/>
              <w:bottom w:w="113" w:type="dxa"/>
              <w:right w:w="113" w:type="dxa"/>
            </w:tcMar>
            <w:vAlign w:val="center"/>
          </w:tcPr>
          <w:p w14:paraId="23CABCEE" w14:textId="77777777" w:rsidR="006D4900" w:rsidRPr="006D4900" w:rsidRDefault="006D4900" w:rsidP="006D4900">
            <w:pPr>
              <w:pStyle w:val="CDITable-RowCentre"/>
            </w:pPr>
            <w:r w:rsidRPr="006D4900">
              <w:t>86</w:t>
            </w:r>
          </w:p>
        </w:tc>
        <w:tc>
          <w:tcPr>
            <w:tcW w:w="1351" w:type="dxa"/>
            <w:tcBorders>
              <w:left w:val="single" w:sz="6" w:space="0" w:color="033636" w:themeColor="text2"/>
            </w:tcBorders>
            <w:tcMar>
              <w:top w:w="113" w:type="dxa"/>
              <w:left w:w="113" w:type="dxa"/>
              <w:bottom w:w="113" w:type="dxa"/>
              <w:right w:w="113" w:type="dxa"/>
            </w:tcMar>
            <w:vAlign w:val="center"/>
          </w:tcPr>
          <w:p w14:paraId="33BEB600" w14:textId="77777777" w:rsidR="006D4900" w:rsidRPr="006D4900" w:rsidRDefault="006D4900" w:rsidP="006D4900">
            <w:pPr>
              <w:pStyle w:val="CDITable-RowCentre"/>
            </w:pPr>
            <w:r w:rsidRPr="006D4900">
              <w:t>21/26</w:t>
            </w:r>
          </w:p>
        </w:tc>
        <w:tc>
          <w:tcPr>
            <w:tcW w:w="1351" w:type="dxa"/>
            <w:tcBorders>
              <w:right w:val="single" w:sz="6" w:space="0" w:color="033636" w:themeColor="text2"/>
            </w:tcBorders>
            <w:tcMar>
              <w:top w:w="113" w:type="dxa"/>
              <w:left w:w="113" w:type="dxa"/>
              <w:bottom w:w="113" w:type="dxa"/>
              <w:right w:w="113" w:type="dxa"/>
            </w:tcMar>
            <w:vAlign w:val="center"/>
          </w:tcPr>
          <w:p w14:paraId="3658F90A" w14:textId="77777777" w:rsidR="006D4900" w:rsidRPr="006D4900" w:rsidRDefault="006D4900" w:rsidP="006D4900">
            <w:pPr>
              <w:pStyle w:val="CDITable-RowCentre"/>
            </w:pPr>
            <w:r w:rsidRPr="006D4900">
              <w:t>81</w:t>
            </w:r>
          </w:p>
        </w:tc>
        <w:tc>
          <w:tcPr>
            <w:tcW w:w="1351" w:type="dxa"/>
            <w:tcBorders>
              <w:left w:val="single" w:sz="6" w:space="0" w:color="033636" w:themeColor="text2"/>
            </w:tcBorders>
            <w:tcMar>
              <w:top w:w="113" w:type="dxa"/>
              <w:left w:w="113" w:type="dxa"/>
              <w:bottom w:w="113" w:type="dxa"/>
              <w:right w:w="113" w:type="dxa"/>
            </w:tcMar>
            <w:vAlign w:val="center"/>
          </w:tcPr>
          <w:p w14:paraId="0E56C2B6" w14:textId="77777777" w:rsidR="006D4900" w:rsidRPr="006D4900" w:rsidRDefault="006D4900" w:rsidP="006D4900">
            <w:pPr>
              <w:pStyle w:val="CDITable-RowCentre"/>
            </w:pPr>
            <w:r w:rsidRPr="006D4900">
              <w:t>2/7</w:t>
            </w:r>
          </w:p>
        </w:tc>
        <w:tc>
          <w:tcPr>
            <w:tcW w:w="1351" w:type="dxa"/>
            <w:tcMar>
              <w:top w:w="113" w:type="dxa"/>
              <w:left w:w="113" w:type="dxa"/>
              <w:bottom w:w="113" w:type="dxa"/>
              <w:right w:w="113" w:type="dxa"/>
            </w:tcMar>
            <w:vAlign w:val="center"/>
          </w:tcPr>
          <w:p w14:paraId="31787DEF" w14:textId="77777777" w:rsidR="006D4900" w:rsidRPr="006D4900" w:rsidRDefault="006D4900" w:rsidP="006D4900">
            <w:pPr>
              <w:pStyle w:val="CDITable-RowCentre"/>
            </w:pPr>
            <w:r w:rsidRPr="006D4900">
              <w:t>29</w:t>
            </w:r>
          </w:p>
        </w:tc>
      </w:tr>
      <w:tr w:rsidR="006D4900" w:rsidRPr="006D4900" w14:paraId="33C1A3F4"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431B9C21" w14:textId="77777777" w:rsidR="006D4900" w:rsidRPr="006D4900" w:rsidRDefault="006D4900" w:rsidP="006D4900">
            <w:pPr>
              <w:pStyle w:val="CDITable-RowLeft"/>
            </w:pPr>
          </w:p>
        </w:tc>
        <w:tc>
          <w:tcPr>
            <w:tcW w:w="3118" w:type="dxa"/>
            <w:tcMar>
              <w:top w:w="113" w:type="dxa"/>
              <w:left w:w="113" w:type="dxa"/>
              <w:bottom w:w="113" w:type="dxa"/>
              <w:right w:w="113" w:type="dxa"/>
            </w:tcMar>
            <w:vAlign w:val="center"/>
          </w:tcPr>
          <w:p w14:paraId="154179A1" w14:textId="77777777" w:rsidR="006D4900" w:rsidRPr="006D4900" w:rsidRDefault="006D4900" w:rsidP="006D4900">
            <w:pPr>
              <w:pStyle w:val="CDITable-RowLeft"/>
            </w:pPr>
            <w:r w:rsidRPr="006D4900">
              <w:t>Facial oedema</w:t>
            </w:r>
          </w:p>
        </w:tc>
        <w:tc>
          <w:tcPr>
            <w:tcW w:w="1351" w:type="dxa"/>
            <w:tcMar>
              <w:top w:w="113" w:type="dxa"/>
              <w:left w:w="113" w:type="dxa"/>
              <w:bottom w:w="113" w:type="dxa"/>
              <w:right w:w="113" w:type="dxa"/>
            </w:tcMar>
            <w:vAlign w:val="center"/>
          </w:tcPr>
          <w:p w14:paraId="0BE3CE96" w14:textId="77777777" w:rsidR="006D4900" w:rsidRPr="006D4900" w:rsidRDefault="006D4900" w:rsidP="006D4900">
            <w:pPr>
              <w:pStyle w:val="CDITable-RowCentre"/>
            </w:pPr>
            <w:r w:rsidRPr="006D4900">
              <w:t>21/42</w:t>
            </w:r>
          </w:p>
        </w:tc>
        <w:tc>
          <w:tcPr>
            <w:tcW w:w="1352" w:type="dxa"/>
            <w:tcBorders>
              <w:right w:val="single" w:sz="6" w:space="0" w:color="033636" w:themeColor="text2"/>
            </w:tcBorders>
            <w:tcMar>
              <w:top w:w="113" w:type="dxa"/>
              <w:left w:w="113" w:type="dxa"/>
              <w:bottom w:w="113" w:type="dxa"/>
              <w:right w:w="113" w:type="dxa"/>
            </w:tcMar>
            <w:vAlign w:val="center"/>
          </w:tcPr>
          <w:p w14:paraId="3D7913B4" w14:textId="77777777" w:rsidR="006D4900" w:rsidRPr="006D4900" w:rsidRDefault="006D4900" w:rsidP="006D4900">
            <w:pPr>
              <w:pStyle w:val="CDITable-RowCentre"/>
            </w:pPr>
            <w:r w:rsidRPr="006D4900">
              <w:t>50</w:t>
            </w:r>
          </w:p>
        </w:tc>
        <w:tc>
          <w:tcPr>
            <w:tcW w:w="1351" w:type="dxa"/>
            <w:tcBorders>
              <w:left w:val="single" w:sz="6" w:space="0" w:color="033636" w:themeColor="text2"/>
            </w:tcBorders>
            <w:tcMar>
              <w:top w:w="113" w:type="dxa"/>
              <w:left w:w="113" w:type="dxa"/>
              <w:bottom w:w="113" w:type="dxa"/>
              <w:right w:w="113" w:type="dxa"/>
            </w:tcMar>
            <w:vAlign w:val="center"/>
          </w:tcPr>
          <w:p w14:paraId="68F5B79B" w14:textId="77777777" w:rsidR="006D4900" w:rsidRPr="006D4900" w:rsidRDefault="006D4900" w:rsidP="006D4900">
            <w:pPr>
              <w:pStyle w:val="CDITable-RowCentre"/>
            </w:pPr>
            <w:r w:rsidRPr="006D4900">
              <w:t>15/26</w:t>
            </w:r>
          </w:p>
        </w:tc>
        <w:tc>
          <w:tcPr>
            <w:tcW w:w="1351" w:type="dxa"/>
            <w:tcBorders>
              <w:right w:val="single" w:sz="6" w:space="0" w:color="033636" w:themeColor="text2"/>
            </w:tcBorders>
            <w:tcMar>
              <w:top w:w="113" w:type="dxa"/>
              <w:left w:w="113" w:type="dxa"/>
              <w:bottom w:w="113" w:type="dxa"/>
              <w:right w:w="113" w:type="dxa"/>
            </w:tcMar>
            <w:vAlign w:val="center"/>
          </w:tcPr>
          <w:p w14:paraId="35919FA2" w14:textId="77777777" w:rsidR="006D4900" w:rsidRPr="006D4900" w:rsidRDefault="006D4900" w:rsidP="006D4900">
            <w:pPr>
              <w:pStyle w:val="CDITable-RowCentre"/>
            </w:pPr>
            <w:r w:rsidRPr="006D4900">
              <w:t>58</w:t>
            </w:r>
          </w:p>
        </w:tc>
        <w:tc>
          <w:tcPr>
            <w:tcW w:w="1351" w:type="dxa"/>
            <w:tcBorders>
              <w:left w:val="single" w:sz="6" w:space="0" w:color="033636" w:themeColor="text2"/>
            </w:tcBorders>
            <w:tcMar>
              <w:top w:w="113" w:type="dxa"/>
              <w:left w:w="113" w:type="dxa"/>
              <w:bottom w:w="113" w:type="dxa"/>
              <w:right w:w="113" w:type="dxa"/>
            </w:tcMar>
            <w:vAlign w:val="center"/>
          </w:tcPr>
          <w:p w14:paraId="2EA5DA07" w14:textId="77777777" w:rsidR="006D4900" w:rsidRPr="006D4900" w:rsidRDefault="006D4900" w:rsidP="006D4900">
            <w:pPr>
              <w:pStyle w:val="CDITable-RowCentre"/>
            </w:pPr>
            <w:r w:rsidRPr="006D4900">
              <w:t>1/7</w:t>
            </w:r>
          </w:p>
        </w:tc>
        <w:tc>
          <w:tcPr>
            <w:tcW w:w="1351" w:type="dxa"/>
            <w:tcMar>
              <w:top w:w="113" w:type="dxa"/>
              <w:left w:w="113" w:type="dxa"/>
              <w:bottom w:w="113" w:type="dxa"/>
              <w:right w:w="113" w:type="dxa"/>
            </w:tcMar>
            <w:vAlign w:val="center"/>
          </w:tcPr>
          <w:p w14:paraId="2BA9FFA8" w14:textId="77777777" w:rsidR="006D4900" w:rsidRPr="006D4900" w:rsidRDefault="006D4900" w:rsidP="006D4900">
            <w:pPr>
              <w:pStyle w:val="CDITable-RowCentre"/>
            </w:pPr>
            <w:r w:rsidRPr="006D4900">
              <w:t>14</w:t>
            </w:r>
          </w:p>
        </w:tc>
      </w:tr>
      <w:tr w:rsidR="006D4900" w:rsidRPr="006D4900" w14:paraId="3A8B9501"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26BB8BE7" w14:textId="77777777" w:rsidR="006D4900" w:rsidRPr="006D4900" w:rsidRDefault="006D4900" w:rsidP="006D4900">
            <w:pPr>
              <w:pStyle w:val="CDITable-RowLeft"/>
            </w:pPr>
          </w:p>
        </w:tc>
        <w:tc>
          <w:tcPr>
            <w:tcW w:w="3118" w:type="dxa"/>
            <w:tcBorders>
              <w:bottom w:val="single" w:sz="8" w:space="0" w:color="033636" w:themeColor="text2"/>
            </w:tcBorders>
            <w:tcMar>
              <w:top w:w="113" w:type="dxa"/>
              <w:left w:w="113" w:type="dxa"/>
              <w:bottom w:w="113" w:type="dxa"/>
              <w:right w:w="113" w:type="dxa"/>
            </w:tcMar>
            <w:vAlign w:val="center"/>
          </w:tcPr>
          <w:p w14:paraId="03F2E29B" w14:textId="77777777" w:rsidR="006D4900" w:rsidRPr="006D4900" w:rsidRDefault="006D4900" w:rsidP="006D4900">
            <w:pPr>
              <w:pStyle w:val="CDITable-RowLeft"/>
            </w:pPr>
            <w:r w:rsidRPr="006D4900">
              <w:t>Peripheral oedema</w:t>
            </w:r>
          </w:p>
        </w:tc>
        <w:tc>
          <w:tcPr>
            <w:tcW w:w="1351" w:type="dxa"/>
            <w:tcBorders>
              <w:bottom w:val="single" w:sz="8" w:space="0" w:color="033636" w:themeColor="text2"/>
            </w:tcBorders>
            <w:tcMar>
              <w:top w:w="113" w:type="dxa"/>
              <w:left w:w="113" w:type="dxa"/>
              <w:bottom w:w="113" w:type="dxa"/>
              <w:right w:w="113" w:type="dxa"/>
            </w:tcMar>
            <w:vAlign w:val="center"/>
          </w:tcPr>
          <w:p w14:paraId="17EC04F1" w14:textId="77777777" w:rsidR="006D4900" w:rsidRPr="006D4900" w:rsidRDefault="006D4900" w:rsidP="006D4900">
            <w:pPr>
              <w:pStyle w:val="CDITable-RowCentre"/>
            </w:pPr>
            <w:r w:rsidRPr="006D4900">
              <w:t>7/42</w:t>
            </w:r>
          </w:p>
        </w:tc>
        <w:tc>
          <w:tcPr>
            <w:tcW w:w="1352"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5486409B" w14:textId="77777777" w:rsidR="006D4900" w:rsidRPr="006D4900" w:rsidRDefault="006D4900" w:rsidP="006D4900">
            <w:pPr>
              <w:pStyle w:val="CDITable-RowCentre"/>
            </w:pPr>
            <w:r w:rsidRPr="006D4900">
              <w:t>17</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3D6956D8" w14:textId="77777777" w:rsidR="006D4900" w:rsidRPr="006D4900" w:rsidRDefault="006D4900" w:rsidP="006D4900">
            <w:pPr>
              <w:pStyle w:val="CDITable-RowCentre"/>
            </w:pPr>
            <w:r w:rsidRPr="006D4900">
              <w:t>6/26</w:t>
            </w:r>
          </w:p>
        </w:tc>
        <w:tc>
          <w:tcPr>
            <w:tcW w:w="1351"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0D3582D3" w14:textId="77777777" w:rsidR="006D4900" w:rsidRPr="006D4900" w:rsidRDefault="006D4900" w:rsidP="006D4900">
            <w:pPr>
              <w:pStyle w:val="CDITable-RowCentre"/>
            </w:pPr>
            <w:r w:rsidRPr="006D4900">
              <w:t>23</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58E890C6" w14:textId="77777777" w:rsidR="006D4900" w:rsidRPr="006D4900" w:rsidRDefault="006D4900" w:rsidP="006D4900">
            <w:pPr>
              <w:pStyle w:val="CDITable-RowCentre"/>
            </w:pPr>
            <w:r w:rsidRPr="006D4900">
              <w:t>0/7</w:t>
            </w:r>
          </w:p>
        </w:tc>
        <w:tc>
          <w:tcPr>
            <w:tcW w:w="1351" w:type="dxa"/>
            <w:tcBorders>
              <w:bottom w:val="single" w:sz="8" w:space="0" w:color="033636" w:themeColor="text2"/>
            </w:tcBorders>
            <w:tcMar>
              <w:top w:w="113" w:type="dxa"/>
              <w:left w:w="113" w:type="dxa"/>
              <w:bottom w:w="113" w:type="dxa"/>
              <w:right w:w="113" w:type="dxa"/>
            </w:tcMar>
            <w:vAlign w:val="center"/>
          </w:tcPr>
          <w:p w14:paraId="6D06D7A4" w14:textId="77777777" w:rsidR="006D4900" w:rsidRPr="006D4900" w:rsidRDefault="006D4900" w:rsidP="006D4900">
            <w:pPr>
              <w:pStyle w:val="CDITable-RowCentre"/>
            </w:pPr>
            <w:r w:rsidRPr="006D4900">
              <w:t>0</w:t>
            </w:r>
          </w:p>
        </w:tc>
      </w:tr>
      <w:tr w:rsidR="006D4900" w:rsidRPr="006D4900" w14:paraId="1A43423E" w14:textId="77777777" w:rsidTr="00400DB8">
        <w:trPr>
          <w:divId w:val="935526654"/>
          <w:trHeight w:val="20"/>
        </w:trPr>
        <w:tc>
          <w:tcPr>
            <w:tcW w:w="3118" w:type="dxa"/>
            <w:tcBorders>
              <w:top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17E02CE5" w14:textId="77777777" w:rsidR="006D4900" w:rsidRPr="006D4900" w:rsidRDefault="006D4900" w:rsidP="006D4900">
            <w:pPr>
              <w:pStyle w:val="CDITable-RowLeft"/>
            </w:pPr>
            <w:r w:rsidRPr="006D4900">
              <w:t>Laboratory criteria:</w:t>
            </w:r>
          </w:p>
        </w:tc>
        <w:tc>
          <w:tcPr>
            <w:tcW w:w="3118" w:type="dxa"/>
            <w:tcBorders>
              <w:top w:val="single" w:sz="8" w:space="0" w:color="033636" w:themeColor="text2"/>
            </w:tcBorders>
            <w:tcMar>
              <w:top w:w="113" w:type="dxa"/>
              <w:left w:w="113" w:type="dxa"/>
              <w:bottom w:w="113" w:type="dxa"/>
              <w:right w:w="113" w:type="dxa"/>
            </w:tcMar>
            <w:vAlign w:val="center"/>
          </w:tcPr>
          <w:p w14:paraId="0E270564" w14:textId="77777777" w:rsidR="006D4900" w:rsidRPr="006D4900" w:rsidRDefault="006D4900" w:rsidP="00400DB8">
            <w:pPr>
              <w:pStyle w:val="CDITable-RowLeft"/>
            </w:pPr>
            <w:r w:rsidRPr="006D4900">
              <w:t xml:space="preserve">Collected </w:t>
            </w:r>
          </w:p>
        </w:tc>
        <w:tc>
          <w:tcPr>
            <w:tcW w:w="1351" w:type="dxa"/>
            <w:tcBorders>
              <w:top w:val="single" w:sz="8" w:space="0" w:color="033636" w:themeColor="text2"/>
            </w:tcBorders>
            <w:tcMar>
              <w:top w:w="113" w:type="dxa"/>
              <w:left w:w="113" w:type="dxa"/>
              <w:bottom w:w="113" w:type="dxa"/>
              <w:right w:w="113" w:type="dxa"/>
            </w:tcMar>
            <w:vAlign w:val="center"/>
          </w:tcPr>
          <w:p w14:paraId="0A0689A6" w14:textId="77777777" w:rsidR="006D4900" w:rsidRPr="006D4900" w:rsidRDefault="006D4900" w:rsidP="006D4900">
            <w:pPr>
              <w:pStyle w:val="CDITable-RowCentre"/>
            </w:pPr>
            <w:r w:rsidRPr="006D4900">
              <w:t>42/42</w:t>
            </w:r>
          </w:p>
        </w:tc>
        <w:tc>
          <w:tcPr>
            <w:tcW w:w="1352"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37DB6140" w14:textId="77777777" w:rsidR="006D4900" w:rsidRPr="006D4900" w:rsidRDefault="006D4900" w:rsidP="006D4900">
            <w:pPr>
              <w:pStyle w:val="CDITable-RowCentre"/>
            </w:pPr>
            <w:r w:rsidRPr="006D4900">
              <w:t>100</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762E93B6" w14:textId="77777777" w:rsidR="006D4900" w:rsidRPr="006D4900" w:rsidRDefault="006D4900" w:rsidP="006D4900">
            <w:pPr>
              <w:pStyle w:val="CDITable-RowCentre"/>
            </w:pPr>
            <w:r w:rsidRPr="006D4900">
              <w:t>26/26</w:t>
            </w:r>
          </w:p>
        </w:tc>
        <w:tc>
          <w:tcPr>
            <w:tcW w:w="1351"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73E5A78C" w14:textId="77777777" w:rsidR="006D4900" w:rsidRPr="006D4900" w:rsidRDefault="006D4900" w:rsidP="006D4900">
            <w:pPr>
              <w:pStyle w:val="CDITable-RowCentre"/>
            </w:pPr>
            <w:r w:rsidRPr="006D4900">
              <w:t>100</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4C599E92" w14:textId="77777777" w:rsidR="006D4900" w:rsidRPr="006D4900" w:rsidRDefault="006D4900" w:rsidP="006D4900">
            <w:pPr>
              <w:pStyle w:val="CDITable-RowCentre"/>
            </w:pPr>
            <w:r w:rsidRPr="006D4900">
              <w:t>7/7</w:t>
            </w:r>
          </w:p>
        </w:tc>
        <w:tc>
          <w:tcPr>
            <w:tcW w:w="1351" w:type="dxa"/>
            <w:tcBorders>
              <w:top w:val="single" w:sz="8" w:space="0" w:color="033636" w:themeColor="text2"/>
            </w:tcBorders>
            <w:tcMar>
              <w:top w:w="113" w:type="dxa"/>
              <w:left w:w="113" w:type="dxa"/>
              <w:bottom w:w="113" w:type="dxa"/>
              <w:right w:w="113" w:type="dxa"/>
            </w:tcMar>
            <w:vAlign w:val="center"/>
          </w:tcPr>
          <w:p w14:paraId="2525127E" w14:textId="77777777" w:rsidR="006D4900" w:rsidRPr="006D4900" w:rsidRDefault="006D4900" w:rsidP="006D4900">
            <w:pPr>
              <w:pStyle w:val="CDITable-RowCentre"/>
            </w:pPr>
            <w:r w:rsidRPr="006D4900">
              <w:t>100</w:t>
            </w:r>
          </w:p>
        </w:tc>
      </w:tr>
      <w:tr w:rsidR="006D4900" w:rsidRPr="006D4900" w14:paraId="4D2898F1" w14:textId="77777777" w:rsidTr="00400DB8">
        <w:trPr>
          <w:divId w:val="935526654"/>
          <w:trHeight w:val="20"/>
        </w:trPr>
        <w:tc>
          <w:tcPr>
            <w:tcW w:w="3118" w:type="dxa"/>
            <w:tcBorders>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21510F87" w14:textId="1A89E062" w:rsidR="006D4900" w:rsidRPr="006D4900" w:rsidRDefault="00465413" w:rsidP="006D4900">
            <w:pPr>
              <w:pStyle w:val="CDITable-RowLeft"/>
            </w:pPr>
            <w:r w:rsidRPr="00465413">
              <w:t>Microscopic haematuria (urine</w:t>
            </w:r>
            <w:r>
              <w:t> </w:t>
            </w:r>
            <w:r w:rsidRPr="00465413">
              <w:t>erythrocyte count)</w:t>
            </w:r>
          </w:p>
        </w:tc>
        <w:tc>
          <w:tcPr>
            <w:tcW w:w="3118" w:type="dxa"/>
            <w:tcBorders>
              <w:bottom w:val="single" w:sz="8" w:space="0" w:color="033636" w:themeColor="text2"/>
            </w:tcBorders>
            <w:tcMar>
              <w:top w:w="113" w:type="dxa"/>
              <w:left w:w="113" w:type="dxa"/>
              <w:bottom w:w="113" w:type="dxa"/>
              <w:right w:w="113" w:type="dxa"/>
            </w:tcMar>
            <w:vAlign w:val="center"/>
          </w:tcPr>
          <w:p w14:paraId="3DCD8110" w14:textId="77777777" w:rsidR="006D4900" w:rsidRPr="006D4900" w:rsidRDefault="006D4900" w:rsidP="006D4900">
            <w:pPr>
              <w:pStyle w:val="CDITable-RowLeft"/>
            </w:pPr>
            <w:r w:rsidRPr="006D4900">
              <w:t>Median (10</w:t>
            </w:r>
            <w:r w:rsidRPr="00465413">
              <w:rPr>
                <w:vertAlign w:val="superscript"/>
              </w:rPr>
              <w:t>6</w:t>
            </w:r>
            <w:r w:rsidRPr="006D4900">
              <w:t>/L)</w:t>
            </w:r>
            <w:r w:rsidRPr="00465413">
              <w:rPr>
                <w:vertAlign w:val="superscript"/>
              </w:rPr>
              <w:t>b</w:t>
            </w:r>
          </w:p>
        </w:tc>
        <w:tc>
          <w:tcPr>
            <w:tcW w:w="1351" w:type="dxa"/>
            <w:tcBorders>
              <w:bottom w:val="single" w:sz="8" w:space="0" w:color="033636" w:themeColor="text2"/>
            </w:tcBorders>
            <w:tcMar>
              <w:top w:w="113" w:type="dxa"/>
              <w:left w:w="113" w:type="dxa"/>
              <w:bottom w:w="113" w:type="dxa"/>
              <w:right w:w="113" w:type="dxa"/>
            </w:tcMar>
            <w:vAlign w:val="center"/>
          </w:tcPr>
          <w:p w14:paraId="0FDD268C" w14:textId="77777777" w:rsidR="006D4900" w:rsidRPr="006D4900" w:rsidRDefault="006D4900" w:rsidP="006D4900">
            <w:pPr>
              <w:pStyle w:val="CDITable-RowCentre"/>
            </w:pPr>
            <w:r w:rsidRPr="006D4900">
              <w:t>500</w:t>
            </w:r>
          </w:p>
        </w:tc>
        <w:tc>
          <w:tcPr>
            <w:tcW w:w="1352"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321C7345" w14:textId="77777777" w:rsidR="006D4900" w:rsidRPr="006D4900" w:rsidRDefault="006D4900" w:rsidP="006D4900">
            <w:pPr>
              <w:pStyle w:val="CDITable-RowCentre"/>
            </w:pPr>
            <w:r w:rsidRPr="006D4900">
              <w:t>500–500</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087EF091" w14:textId="77777777" w:rsidR="006D4900" w:rsidRPr="006D4900" w:rsidRDefault="006D4900" w:rsidP="006D4900">
            <w:pPr>
              <w:pStyle w:val="CDITable-RowCentre"/>
            </w:pPr>
            <w:r w:rsidRPr="006D4900">
              <w:t>25</w:t>
            </w:r>
          </w:p>
        </w:tc>
        <w:tc>
          <w:tcPr>
            <w:tcW w:w="1351"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08DF9DA1" w14:textId="77777777" w:rsidR="006D4900" w:rsidRPr="006D4900" w:rsidRDefault="006D4900" w:rsidP="006D4900">
            <w:pPr>
              <w:pStyle w:val="CDITable-RowCentre"/>
            </w:pPr>
            <w:r w:rsidRPr="006D4900">
              <w:t>10–225</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05AEF0C0" w14:textId="77777777" w:rsidR="006D4900" w:rsidRPr="006D4900" w:rsidRDefault="006D4900" w:rsidP="006D4900">
            <w:pPr>
              <w:pStyle w:val="CDITable-RowCentre"/>
            </w:pPr>
            <w:r w:rsidRPr="006D4900">
              <w:t>210</w:t>
            </w:r>
          </w:p>
        </w:tc>
        <w:tc>
          <w:tcPr>
            <w:tcW w:w="1351" w:type="dxa"/>
            <w:tcBorders>
              <w:bottom w:val="single" w:sz="8" w:space="0" w:color="033636" w:themeColor="text2"/>
            </w:tcBorders>
            <w:tcMar>
              <w:top w:w="113" w:type="dxa"/>
              <w:left w:w="113" w:type="dxa"/>
              <w:bottom w:w="113" w:type="dxa"/>
              <w:right w:w="113" w:type="dxa"/>
            </w:tcMar>
            <w:vAlign w:val="center"/>
          </w:tcPr>
          <w:p w14:paraId="23569F43" w14:textId="77777777" w:rsidR="006D4900" w:rsidRPr="006D4900" w:rsidRDefault="006D4900" w:rsidP="006D4900">
            <w:pPr>
              <w:pStyle w:val="CDITable-RowCentre"/>
            </w:pPr>
            <w:r w:rsidRPr="006D4900">
              <w:t>130–500</w:t>
            </w:r>
          </w:p>
        </w:tc>
      </w:tr>
      <w:tr w:rsidR="006D4900" w:rsidRPr="006D4900" w14:paraId="309383E3" w14:textId="77777777" w:rsidTr="00400DB8">
        <w:trPr>
          <w:divId w:val="935526654"/>
          <w:trHeight w:val="20"/>
        </w:trPr>
        <w:tc>
          <w:tcPr>
            <w:tcW w:w="3118" w:type="dxa"/>
            <w:tcBorders>
              <w:top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298039F5" w14:textId="77777777" w:rsidR="006D4900" w:rsidRPr="006D4900" w:rsidRDefault="006D4900" w:rsidP="006D4900">
            <w:pPr>
              <w:pStyle w:val="CDITable-RowLeft"/>
            </w:pPr>
            <w:r w:rsidRPr="006D4900">
              <w:t>Laboratory criteria:</w:t>
            </w:r>
          </w:p>
        </w:tc>
        <w:tc>
          <w:tcPr>
            <w:tcW w:w="3118" w:type="dxa"/>
            <w:tcBorders>
              <w:top w:val="single" w:sz="8" w:space="0" w:color="033636" w:themeColor="text2"/>
            </w:tcBorders>
            <w:tcMar>
              <w:top w:w="113" w:type="dxa"/>
              <w:left w:w="113" w:type="dxa"/>
              <w:bottom w:w="113" w:type="dxa"/>
              <w:right w:w="113" w:type="dxa"/>
            </w:tcMar>
            <w:vAlign w:val="center"/>
          </w:tcPr>
          <w:p w14:paraId="373C2EC4" w14:textId="77777777" w:rsidR="006D4900" w:rsidRPr="006D4900" w:rsidRDefault="006D4900" w:rsidP="006D4900">
            <w:pPr>
              <w:pStyle w:val="CDITable-RowLeft"/>
            </w:pPr>
            <w:r w:rsidRPr="006D4900">
              <w:t>Collected</w:t>
            </w:r>
            <w:r w:rsidRPr="00400DB8">
              <w:rPr>
                <w:vertAlign w:val="superscript"/>
              </w:rPr>
              <w:t>a</w:t>
            </w:r>
          </w:p>
        </w:tc>
        <w:tc>
          <w:tcPr>
            <w:tcW w:w="1351" w:type="dxa"/>
            <w:tcBorders>
              <w:top w:val="single" w:sz="8" w:space="0" w:color="033636" w:themeColor="text2"/>
            </w:tcBorders>
            <w:tcMar>
              <w:top w:w="113" w:type="dxa"/>
              <w:left w:w="113" w:type="dxa"/>
              <w:bottom w:w="113" w:type="dxa"/>
              <w:right w:w="113" w:type="dxa"/>
            </w:tcMar>
            <w:vAlign w:val="center"/>
          </w:tcPr>
          <w:p w14:paraId="1ADAE8FA" w14:textId="77777777" w:rsidR="006D4900" w:rsidRPr="006D4900" w:rsidRDefault="006D4900" w:rsidP="006D4900">
            <w:pPr>
              <w:pStyle w:val="CDITable-RowCentre"/>
            </w:pPr>
            <w:r w:rsidRPr="006D4900">
              <w:t>42/42</w:t>
            </w:r>
          </w:p>
        </w:tc>
        <w:tc>
          <w:tcPr>
            <w:tcW w:w="1352"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5B287524" w14:textId="77777777" w:rsidR="006D4900" w:rsidRPr="006D4900" w:rsidRDefault="006D4900" w:rsidP="006D4900">
            <w:pPr>
              <w:pStyle w:val="CDITable-RowCentre"/>
            </w:pPr>
            <w:r w:rsidRPr="006D4900">
              <w:t>100</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3A22DA5E" w14:textId="77777777" w:rsidR="006D4900" w:rsidRPr="006D4900" w:rsidRDefault="006D4900" w:rsidP="006D4900">
            <w:pPr>
              <w:pStyle w:val="CDITable-RowCentre"/>
            </w:pPr>
            <w:r w:rsidRPr="006D4900">
              <w:t>23/26</w:t>
            </w:r>
          </w:p>
        </w:tc>
        <w:tc>
          <w:tcPr>
            <w:tcW w:w="1351"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66201E64" w14:textId="77777777" w:rsidR="006D4900" w:rsidRPr="006D4900" w:rsidRDefault="006D4900" w:rsidP="006D4900">
            <w:pPr>
              <w:pStyle w:val="CDITable-RowCentre"/>
            </w:pPr>
            <w:r w:rsidRPr="006D4900">
              <w:t>88</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793ABEC9" w14:textId="77777777" w:rsidR="006D4900" w:rsidRPr="006D4900" w:rsidRDefault="006D4900" w:rsidP="006D4900">
            <w:pPr>
              <w:pStyle w:val="CDITable-RowCentre"/>
            </w:pPr>
            <w:r w:rsidRPr="006D4900">
              <w:t>7/7</w:t>
            </w:r>
          </w:p>
        </w:tc>
        <w:tc>
          <w:tcPr>
            <w:tcW w:w="1351" w:type="dxa"/>
            <w:tcBorders>
              <w:top w:val="single" w:sz="8" w:space="0" w:color="033636" w:themeColor="text2"/>
            </w:tcBorders>
            <w:tcMar>
              <w:top w:w="113" w:type="dxa"/>
              <w:left w:w="113" w:type="dxa"/>
              <w:bottom w:w="113" w:type="dxa"/>
              <w:right w:w="113" w:type="dxa"/>
            </w:tcMar>
            <w:vAlign w:val="center"/>
          </w:tcPr>
          <w:p w14:paraId="5DB62AC4" w14:textId="77777777" w:rsidR="006D4900" w:rsidRPr="006D4900" w:rsidRDefault="006D4900" w:rsidP="006D4900">
            <w:pPr>
              <w:pStyle w:val="CDITable-RowCentre"/>
            </w:pPr>
            <w:r w:rsidRPr="006D4900">
              <w:t>100</w:t>
            </w:r>
          </w:p>
        </w:tc>
      </w:tr>
      <w:tr w:rsidR="006D4900" w:rsidRPr="006D4900" w14:paraId="09DA0885" w14:textId="77777777" w:rsidTr="00400DB8">
        <w:trPr>
          <w:divId w:val="935526654"/>
          <w:trHeight w:val="20"/>
        </w:trPr>
        <w:tc>
          <w:tcPr>
            <w:tcW w:w="3118" w:type="dxa"/>
            <w:tcBorders>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26375769" w14:textId="77777777" w:rsidR="006D4900" w:rsidRPr="006D4900" w:rsidRDefault="006D4900" w:rsidP="006D4900">
            <w:pPr>
              <w:pStyle w:val="CDITable-RowLeft"/>
            </w:pPr>
            <w:r w:rsidRPr="006D4900">
              <w:t>C3 complement</w:t>
            </w:r>
          </w:p>
        </w:tc>
        <w:tc>
          <w:tcPr>
            <w:tcW w:w="3118" w:type="dxa"/>
            <w:tcBorders>
              <w:bottom w:val="single" w:sz="8" w:space="0" w:color="033636" w:themeColor="text2"/>
            </w:tcBorders>
            <w:tcMar>
              <w:top w:w="113" w:type="dxa"/>
              <w:left w:w="113" w:type="dxa"/>
              <w:bottom w:w="113" w:type="dxa"/>
              <w:right w:w="113" w:type="dxa"/>
            </w:tcMar>
            <w:vAlign w:val="center"/>
          </w:tcPr>
          <w:p w14:paraId="3421169C" w14:textId="77777777" w:rsidR="006D4900" w:rsidRPr="006D4900" w:rsidRDefault="006D4900" w:rsidP="006D4900">
            <w:pPr>
              <w:pStyle w:val="CDITable-RowLeft"/>
            </w:pPr>
            <w:r w:rsidRPr="006D4900">
              <w:t>Median (g/L)</w:t>
            </w:r>
            <w:r w:rsidRPr="00465413">
              <w:rPr>
                <w:vertAlign w:val="superscript"/>
              </w:rPr>
              <w:t>b</w:t>
            </w:r>
          </w:p>
        </w:tc>
        <w:tc>
          <w:tcPr>
            <w:tcW w:w="1351" w:type="dxa"/>
            <w:tcBorders>
              <w:bottom w:val="single" w:sz="8" w:space="0" w:color="033636" w:themeColor="text2"/>
            </w:tcBorders>
            <w:tcMar>
              <w:top w:w="113" w:type="dxa"/>
              <w:left w:w="113" w:type="dxa"/>
              <w:bottom w:w="113" w:type="dxa"/>
              <w:right w:w="113" w:type="dxa"/>
            </w:tcMar>
            <w:vAlign w:val="center"/>
          </w:tcPr>
          <w:p w14:paraId="746D32BD" w14:textId="77777777" w:rsidR="006D4900" w:rsidRPr="006D4900" w:rsidRDefault="006D4900" w:rsidP="006D4900">
            <w:pPr>
              <w:pStyle w:val="CDITable-RowCentre"/>
            </w:pPr>
            <w:r w:rsidRPr="006D4900">
              <w:t>0.22</w:t>
            </w:r>
          </w:p>
        </w:tc>
        <w:tc>
          <w:tcPr>
            <w:tcW w:w="1352"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1C407539" w14:textId="77777777" w:rsidR="006D4900" w:rsidRPr="006D4900" w:rsidRDefault="006D4900" w:rsidP="006D4900">
            <w:pPr>
              <w:pStyle w:val="CDITable-RowCentre"/>
            </w:pPr>
            <w:r w:rsidRPr="006D4900">
              <w:t>0.17–0.31</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6FDDC938" w14:textId="77777777" w:rsidR="006D4900" w:rsidRPr="006D4900" w:rsidRDefault="006D4900" w:rsidP="006D4900">
            <w:pPr>
              <w:pStyle w:val="CDITable-RowCentre"/>
            </w:pPr>
            <w:r w:rsidRPr="006D4900">
              <w:t>1.27</w:t>
            </w:r>
          </w:p>
        </w:tc>
        <w:tc>
          <w:tcPr>
            <w:tcW w:w="1351"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2A7D6E6B" w14:textId="77777777" w:rsidR="006D4900" w:rsidRPr="006D4900" w:rsidRDefault="006D4900" w:rsidP="006D4900">
            <w:pPr>
              <w:pStyle w:val="CDITable-RowCentre"/>
            </w:pPr>
            <w:r w:rsidRPr="006D4900">
              <w:t>1.14–1.49</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2901C920" w14:textId="77777777" w:rsidR="006D4900" w:rsidRPr="006D4900" w:rsidRDefault="006D4900" w:rsidP="006D4900">
            <w:pPr>
              <w:pStyle w:val="CDITable-RowCentre"/>
            </w:pPr>
            <w:r w:rsidRPr="006D4900">
              <w:t>0.46</w:t>
            </w:r>
          </w:p>
        </w:tc>
        <w:tc>
          <w:tcPr>
            <w:tcW w:w="1351" w:type="dxa"/>
            <w:tcBorders>
              <w:bottom w:val="single" w:sz="8" w:space="0" w:color="033636" w:themeColor="text2"/>
            </w:tcBorders>
            <w:tcMar>
              <w:top w:w="113" w:type="dxa"/>
              <w:left w:w="113" w:type="dxa"/>
              <w:bottom w:w="113" w:type="dxa"/>
              <w:right w:w="113" w:type="dxa"/>
            </w:tcMar>
            <w:vAlign w:val="center"/>
          </w:tcPr>
          <w:p w14:paraId="448DAAB0" w14:textId="77777777" w:rsidR="006D4900" w:rsidRPr="006D4900" w:rsidRDefault="006D4900" w:rsidP="006D4900">
            <w:pPr>
              <w:pStyle w:val="CDITable-RowCentre"/>
            </w:pPr>
            <w:r w:rsidRPr="006D4900">
              <w:t>0.18–0.81</w:t>
            </w:r>
          </w:p>
        </w:tc>
      </w:tr>
      <w:tr w:rsidR="006D4900" w:rsidRPr="006D4900" w14:paraId="419BBB7A" w14:textId="77777777" w:rsidTr="00400DB8">
        <w:trPr>
          <w:divId w:val="935526654"/>
          <w:trHeight w:val="20"/>
        </w:trPr>
        <w:tc>
          <w:tcPr>
            <w:tcW w:w="3118" w:type="dxa"/>
            <w:tcBorders>
              <w:top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0C857CFC" w14:textId="77777777" w:rsidR="006D4900" w:rsidRPr="006D4900" w:rsidRDefault="006D4900" w:rsidP="006D4900">
            <w:pPr>
              <w:pStyle w:val="CDITable-RowLeft"/>
            </w:pPr>
            <w:r w:rsidRPr="006D4900">
              <w:lastRenderedPageBreak/>
              <w:t>Laboratory criteria:</w:t>
            </w:r>
          </w:p>
        </w:tc>
        <w:tc>
          <w:tcPr>
            <w:tcW w:w="3118" w:type="dxa"/>
            <w:tcBorders>
              <w:top w:val="single" w:sz="8" w:space="0" w:color="033636" w:themeColor="text2"/>
            </w:tcBorders>
            <w:tcMar>
              <w:top w:w="113" w:type="dxa"/>
              <w:left w:w="113" w:type="dxa"/>
              <w:bottom w:w="113" w:type="dxa"/>
              <w:right w:w="113" w:type="dxa"/>
            </w:tcMar>
            <w:vAlign w:val="center"/>
          </w:tcPr>
          <w:p w14:paraId="78187888" w14:textId="77777777" w:rsidR="006D4900" w:rsidRPr="006D4900" w:rsidRDefault="006D4900" w:rsidP="006D4900">
            <w:pPr>
              <w:pStyle w:val="CDITable-RowLeft"/>
            </w:pPr>
            <w:r w:rsidRPr="006D4900">
              <w:t>Collected</w:t>
            </w:r>
            <w:r w:rsidRPr="00465413">
              <w:rPr>
                <w:vertAlign w:val="superscript"/>
              </w:rPr>
              <w:t>a</w:t>
            </w:r>
          </w:p>
        </w:tc>
        <w:tc>
          <w:tcPr>
            <w:tcW w:w="1351" w:type="dxa"/>
            <w:tcBorders>
              <w:top w:val="single" w:sz="8" w:space="0" w:color="033636" w:themeColor="text2"/>
            </w:tcBorders>
            <w:tcMar>
              <w:top w:w="113" w:type="dxa"/>
              <w:left w:w="113" w:type="dxa"/>
              <w:bottom w:w="113" w:type="dxa"/>
              <w:right w:w="113" w:type="dxa"/>
            </w:tcMar>
            <w:vAlign w:val="center"/>
          </w:tcPr>
          <w:p w14:paraId="5DD4E0F5" w14:textId="77777777" w:rsidR="006D4900" w:rsidRPr="006D4900" w:rsidRDefault="006D4900" w:rsidP="006D4900">
            <w:pPr>
              <w:pStyle w:val="CDITable-RowCentre"/>
            </w:pPr>
            <w:r w:rsidRPr="006D4900">
              <w:t>42/42</w:t>
            </w:r>
          </w:p>
        </w:tc>
        <w:tc>
          <w:tcPr>
            <w:tcW w:w="1352"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4AC6F20B" w14:textId="77777777" w:rsidR="006D4900" w:rsidRPr="006D4900" w:rsidRDefault="006D4900" w:rsidP="006D4900">
            <w:pPr>
              <w:pStyle w:val="CDITable-RowCentre"/>
            </w:pPr>
            <w:r w:rsidRPr="006D4900">
              <w:t>100</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4D405E12" w14:textId="77777777" w:rsidR="006D4900" w:rsidRPr="006D4900" w:rsidRDefault="006D4900" w:rsidP="006D4900">
            <w:pPr>
              <w:pStyle w:val="CDITable-RowCentre"/>
            </w:pPr>
            <w:r w:rsidRPr="006D4900">
              <w:t>24/26</w:t>
            </w:r>
          </w:p>
        </w:tc>
        <w:tc>
          <w:tcPr>
            <w:tcW w:w="1351"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3965BCB8" w14:textId="77777777" w:rsidR="006D4900" w:rsidRPr="006D4900" w:rsidRDefault="006D4900" w:rsidP="006D4900">
            <w:pPr>
              <w:pStyle w:val="CDITable-RowCentre"/>
            </w:pPr>
            <w:r w:rsidRPr="006D4900">
              <w:t>92</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0F05B311" w14:textId="77777777" w:rsidR="006D4900" w:rsidRPr="006D4900" w:rsidRDefault="006D4900" w:rsidP="006D4900">
            <w:pPr>
              <w:pStyle w:val="CDITable-RowCentre"/>
            </w:pPr>
            <w:r w:rsidRPr="006D4900">
              <w:t>7/7</w:t>
            </w:r>
          </w:p>
        </w:tc>
        <w:tc>
          <w:tcPr>
            <w:tcW w:w="1351" w:type="dxa"/>
            <w:tcBorders>
              <w:top w:val="single" w:sz="8" w:space="0" w:color="033636" w:themeColor="text2"/>
            </w:tcBorders>
            <w:tcMar>
              <w:top w:w="113" w:type="dxa"/>
              <w:left w:w="113" w:type="dxa"/>
              <w:bottom w:w="113" w:type="dxa"/>
              <w:right w:w="113" w:type="dxa"/>
            </w:tcMar>
            <w:vAlign w:val="center"/>
          </w:tcPr>
          <w:p w14:paraId="68B34CF1" w14:textId="77777777" w:rsidR="006D4900" w:rsidRPr="006D4900" w:rsidRDefault="006D4900" w:rsidP="006D4900">
            <w:pPr>
              <w:pStyle w:val="CDITable-RowCentre"/>
            </w:pPr>
            <w:r w:rsidRPr="006D4900">
              <w:t>100</w:t>
            </w:r>
          </w:p>
        </w:tc>
      </w:tr>
      <w:tr w:rsidR="006D4900" w:rsidRPr="006D4900" w14:paraId="2B3FDEB9" w14:textId="77777777" w:rsidTr="00400DB8">
        <w:trPr>
          <w:divId w:val="935526654"/>
          <w:trHeight w:val="20"/>
        </w:trPr>
        <w:tc>
          <w:tcPr>
            <w:tcW w:w="3118" w:type="dxa"/>
            <w:tcBorders>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0E740FD0" w14:textId="77777777" w:rsidR="006D4900" w:rsidRPr="006D4900" w:rsidRDefault="006D4900" w:rsidP="006D4900">
            <w:pPr>
              <w:pStyle w:val="CDITable-RowLeft"/>
            </w:pPr>
            <w:r w:rsidRPr="006D4900">
              <w:t>Antistreptolysin O titre (ASOT)</w:t>
            </w:r>
          </w:p>
        </w:tc>
        <w:tc>
          <w:tcPr>
            <w:tcW w:w="3118" w:type="dxa"/>
            <w:tcBorders>
              <w:bottom w:val="single" w:sz="8" w:space="0" w:color="033636" w:themeColor="text2"/>
            </w:tcBorders>
            <w:tcMar>
              <w:top w:w="113" w:type="dxa"/>
              <w:left w:w="113" w:type="dxa"/>
              <w:bottom w:w="113" w:type="dxa"/>
              <w:right w:w="113" w:type="dxa"/>
            </w:tcMar>
            <w:vAlign w:val="center"/>
          </w:tcPr>
          <w:p w14:paraId="158F65E6" w14:textId="77777777" w:rsidR="006D4900" w:rsidRPr="006D4900" w:rsidRDefault="006D4900" w:rsidP="006D4900">
            <w:pPr>
              <w:pStyle w:val="CDITable-RowLeft"/>
            </w:pPr>
            <w:r w:rsidRPr="006D4900">
              <w:t>Median (U/mL)</w:t>
            </w:r>
            <w:r w:rsidRPr="00400DB8">
              <w:rPr>
                <w:vertAlign w:val="superscript"/>
              </w:rPr>
              <w:t>b</w:t>
            </w:r>
          </w:p>
        </w:tc>
        <w:tc>
          <w:tcPr>
            <w:tcW w:w="1351" w:type="dxa"/>
            <w:tcBorders>
              <w:bottom w:val="single" w:sz="8" w:space="0" w:color="033636" w:themeColor="text2"/>
            </w:tcBorders>
            <w:tcMar>
              <w:top w:w="113" w:type="dxa"/>
              <w:left w:w="113" w:type="dxa"/>
              <w:bottom w:w="113" w:type="dxa"/>
              <w:right w:w="113" w:type="dxa"/>
            </w:tcMar>
            <w:vAlign w:val="center"/>
          </w:tcPr>
          <w:p w14:paraId="3944D909" w14:textId="77777777" w:rsidR="006D4900" w:rsidRPr="006D4900" w:rsidRDefault="006D4900" w:rsidP="006D4900">
            <w:pPr>
              <w:pStyle w:val="CDITable-RowCentre"/>
            </w:pPr>
            <w:r w:rsidRPr="006D4900">
              <w:t>635</w:t>
            </w:r>
          </w:p>
        </w:tc>
        <w:tc>
          <w:tcPr>
            <w:tcW w:w="1352"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2146F5C1" w14:textId="77777777" w:rsidR="006D4900" w:rsidRPr="006D4900" w:rsidRDefault="006D4900" w:rsidP="006D4900">
            <w:pPr>
              <w:pStyle w:val="CDITable-RowCentre"/>
            </w:pPr>
            <w:r w:rsidRPr="006D4900">
              <w:t>395–1,125</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3A4EAB87" w14:textId="77777777" w:rsidR="006D4900" w:rsidRPr="006D4900" w:rsidRDefault="006D4900" w:rsidP="006D4900">
            <w:pPr>
              <w:pStyle w:val="CDITable-RowCentre"/>
            </w:pPr>
            <w:r w:rsidRPr="006D4900">
              <w:t>286</w:t>
            </w:r>
          </w:p>
        </w:tc>
        <w:tc>
          <w:tcPr>
            <w:tcW w:w="1351"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77173FA5" w14:textId="77777777" w:rsidR="006D4900" w:rsidRPr="006D4900" w:rsidRDefault="006D4900" w:rsidP="006D4900">
            <w:pPr>
              <w:pStyle w:val="CDITable-RowCentre"/>
            </w:pPr>
            <w:r w:rsidRPr="006D4900">
              <w:t>169–664</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51F18278" w14:textId="77777777" w:rsidR="006D4900" w:rsidRPr="006D4900" w:rsidRDefault="006D4900" w:rsidP="006D4900">
            <w:pPr>
              <w:pStyle w:val="CDITable-RowCentre"/>
            </w:pPr>
            <w:r w:rsidRPr="006D4900">
              <w:t>661</w:t>
            </w:r>
          </w:p>
        </w:tc>
        <w:tc>
          <w:tcPr>
            <w:tcW w:w="1351" w:type="dxa"/>
            <w:tcBorders>
              <w:bottom w:val="single" w:sz="8" w:space="0" w:color="033636" w:themeColor="text2"/>
            </w:tcBorders>
            <w:tcMar>
              <w:top w:w="113" w:type="dxa"/>
              <w:left w:w="113" w:type="dxa"/>
              <w:bottom w:w="113" w:type="dxa"/>
              <w:right w:w="113" w:type="dxa"/>
            </w:tcMar>
            <w:vAlign w:val="center"/>
          </w:tcPr>
          <w:p w14:paraId="3927143B" w14:textId="77777777" w:rsidR="006D4900" w:rsidRPr="006D4900" w:rsidRDefault="006D4900" w:rsidP="006D4900">
            <w:pPr>
              <w:pStyle w:val="CDITable-RowCentre"/>
            </w:pPr>
            <w:r w:rsidRPr="006D4900">
              <w:t>216–1,320</w:t>
            </w:r>
          </w:p>
        </w:tc>
      </w:tr>
      <w:tr w:rsidR="006D4900" w:rsidRPr="006D4900" w14:paraId="310D3CC2" w14:textId="77777777" w:rsidTr="00400DB8">
        <w:trPr>
          <w:divId w:val="935526654"/>
          <w:trHeight w:val="20"/>
        </w:trPr>
        <w:tc>
          <w:tcPr>
            <w:tcW w:w="3118" w:type="dxa"/>
            <w:tcBorders>
              <w:top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4C501707" w14:textId="77777777" w:rsidR="006D4900" w:rsidRPr="006D4900" w:rsidRDefault="006D4900" w:rsidP="006D4900">
            <w:pPr>
              <w:pStyle w:val="CDITable-RowLeft"/>
            </w:pPr>
            <w:r w:rsidRPr="006D4900">
              <w:t>Laboratory criteria:</w:t>
            </w:r>
          </w:p>
        </w:tc>
        <w:tc>
          <w:tcPr>
            <w:tcW w:w="3118" w:type="dxa"/>
            <w:tcBorders>
              <w:top w:val="single" w:sz="8" w:space="0" w:color="033636" w:themeColor="text2"/>
            </w:tcBorders>
            <w:tcMar>
              <w:top w:w="113" w:type="dxa"/>
              <w:left w:w="113" w:type="dxa"/>
              <w:bottom w:w="113" w:type="dxa"/>
              <w:right w:w="113" w:type="dxa"/>
            </w:tcMar>
            <w:vAlign w:val="center"/>
          </w:tcPr>
          <w:p w14:paraId="37904DBF" w14:textId="77777777" w:rsidR="006D4900" w:rsidRPr="006D4900" w:rsidRDefault="006D4900" w:rsidP="006D4900">
            <w:pPr>
              <w:pStyle w:val="CDITable-RowLeft"/>
            </w:pPr>
            <w:r w:rsidRPr="006D4900">
              <w:t>Collecteda</w:t>
            </w:r>
          </w:p>
        </w:tc>
        <w:tc>
          <w:tcPr>
            <w:tcW w:w="1351" w:type="dxa"/>
            <w:tcBorders>
              <w:top w:val="single" w:sz="8" w:space="0" w:color="033636" w:themeColor="text2"/>
            </w:tcBorders>
            <w:tcMar>
              <w:top w:w="113" w:type="dxa"/>
              <w:left w:w="113" w:type="dxa"/>
              <w:bottom w:w="113" w:type="dxa"/>
              <w:right w:w="113" w:type="dxa"/>
            </w:tcMar>
            <w:vAlign w:val="center"/>
          </w:tcPr>
          <w:p w14:paraId="360368F0" w14:textId="77777777" w:rsidR="006D4900" w:rsidRPr="006D4900" w:rsidRDefault="006D4900" w:rsidP="006D4900">
            <w:pPr>
              <w:pStyle w:val="CDITable-RowCentre"/>
            </w:pPr>
            <w:r w:rsidRPr="006D4900">
              <w:t>42/42</w:t>
            </w:r>
          </w:p>
        </w:tc>
        <w:tc>
          <w:tcPr>
            <w:tcW w:w="1352"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3BDD7CC7" w14:textId="77777777" w:rsidR="006D4900" w:rsidRPr="006D4900" w:rsidRDefault="006D4900" w:rsidP="006D4900">
            <w:pPr>
              <w:pStyle w:val="CDITable-RowCentre"/>
            </w:pPr>
            <w:r w:rsidRPr="006D4900">
              <w:t>100</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3B08C3F9" w14:textId="77777777" w:rsidR="006D4900" w:rsidRPr="006D4900" w:rsidRDefault="006D4900" w:rsidP="006D4900">
            <w:pPr>
              <w:pStyle w:val="CDITable-RowCentre"/>
            </w:pPr>
            <w:r w:rsidRPr="006D4900">
              <w:t>24/26</w:t>
            </w:r>
          </w:p>
        </w:tc>
        <w:tc>
          <w:tcPr>
            <w:tcW w:w="1351"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5A52ED97" w14:textId="77777777" w:rsidR="006D4900" w:rsidRPr="006D4900" w:rsidRDefault="006D4900" w:rsidP="006D4900">
            <w:pPr>
              <w:pStyle w:val="CDITable-RowCentre"/>
            </w:pPr>
            <w:r w:rsidRPr="006D4900">
              <w:t>92</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3A71944B" w14:textId="77777777" w:rsidR="006D4900" w:rsidRPr="006D4900" w:rsidRDefault="006D4900" w:rsidP="006D4900">
            <w:pPr>
              <w:pStyle w:val="CDITable-RowCentre"/>
            </w:pPr>
            <w:r w:rsidRPr="006D4900">
              <w:t>7/7</w:t>
            </w:r>
          </w:p>
        </w:tc>
        <w:tc>
          <w:tcPr>
            <w:tcW w:w="1351" w:type="dxa"/>
            <w:tcBorders>
              <w:top w:val="single" w:sz="8" w:space="0" w:color="033636" w:themeColor="text2"/>
            </w:tcBorders>
            <w:tcMar>
              <w:top w:w="113" w:type="dxa"/>
              <w:left w:w="113" w:type="dxa"/>
              <w:bottom w:w="113" w:type="dxa"/>
              <w:right w:w="113" w:type="dxa"/>
            </w:tcMar>
            <w:vAlign w:val="center"/>
          </w:tcPr>
          <w:p w14:paraId="3252E44D" w14:textId="77777777" w:rsidR="006D4900" w:rsidRPr="006D4900" w:rsidRDefault="006D4900" w:rsidP="006D4900">
            <w:pPr>
              <w:pStyle w:val="CDITable-RowCentre"/>
            </w:pPr>
            <w:r w:rsidRPr="006D4900">
              <w:t>100</w:t>
            </w:r>
          </w:p>
        </w:tc>
      </w:tr>
      <w:tr w:rsidR="006D4900" w:rsidRPr="006D4900" w14:paraId="4B50CC9D" w14:textId="77777777" w:rsidTr="00400DB8">
        <w:trPr>
          <w:divId w:val="935526654"/>
          <w:trHeight w:val="20"/>
        </w:trPr>
        <w:tc>
          <w:tcPr>
            <w:tcW w:w="3118" w:type="dxa"/>
            <w:tcBorders>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63E0AFB2" w14:textId="77777777" w:rsidR="006D4900" w:rsidRPr="006D4900" w:rsidRDefault="006D4900" w:rsidP="006D4900">
            <w:pPr>
              <w:pStyle w:val="CDITable-RowLeft"/>
            </w:pPr>
            <w:r w:rsidRPr="006D4900">
              <w:t>Anti-DNAse B</w:t>
            </w:r>
          </w:p>
        </w:tc>
        <w:tc>
          <w:tcPr>
            <w:tcW w:w="3118" w:type="dxa"/>
            <w:tcBorders>
              <w:bottom w:val="single" w:sz="8" w:space="0" w:color="033636" w:themeColor="text2"/>
            </w:tcBorders>
            <w:tcMar>
              <w:top w:w="113" w:type="dxa"/>
              <w:left w:w="113" w:type="dxa"/>
              <w:bottom w:w="113" w:type="dxa"/>
              <w:right w:w="113" w:type="dxa"/>
            </w:tcMar>
            <w:vAlign w:val="center"/>
          </w:tcPr>
          <w:p w14:paraId="3DC13BF8" w14:textId="77777777" w:rsidR="006D4900" w:rsidRPr="006D4900" w:rsidRDefault="006D4900" w:rsidP="006D4900">
            <w:pPr>
              <w:pStyle w:val="CDITable-RowLeft"/>
            </w:pPr>
            <w:r w:rsidRPr="006D4900">
              <w:t>Median (U/mL)</w:t>
            </w:r>
            <w:r w:rsidRPr="00400DB8">
              <w:rPr>
                <w:vertAlign w:val="superscript"/>
              </w:rPr>
              <w:t>b</w:t>
            </w:r>
          </w:p>
        </w:tc>
        <w:tc>
          <w:tcPr>
            <w:tcW w:w="1351" w:type="dxa"/>
            <w:tcBorders>
              <w:bottom w:val="single" w:sz="8" w:space="0" w:color="033636" w:themeColor="text2"/>
            </w:tcBorders>
            <w:tcMar>
              <w:top w:w="113" w:type="dxa"/>
              <w:left w:w="113" w:type="dxa"/>
              <w:bottom w:w="113" w:type="dxa"/>
              <w:right w:w="113" w:type="dxa"/>
            </w:tcMar>
            <w:vAlign w:val="center"/>
          </w:tcPr>
          <w:p w14:paraId="3926800C" w14:textId="77777777" w:rsidR="006D4900" w:rsidRPr="006D4900" w:rsidRDefault="006D4900" w:rsidP="006D4900">
            <w:pPr>
              <w:pStyle w:val="CDITable-RowCentre"/>
            </w:pPr>
            <w:r w:rsidRPr="006D4900">
              <w:t>979</w:t>
            </w:r>
          </w:p>
        </w:tc>
        <w:tc>
          <w:tcPr>
            <w:tcW w:w="1352"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150B15DE" w14:textId="77777777" w:rsidR="006D4900" w:rsidRPr="006D4900" w:rsidRDefault="006D4900" w:rsidP="006D4900">
            <w:pPr>
              <w:pStyle w:val="CDITable-RowCentre"/>
            </w:pPr>
            <w:r w:rsidRPr="006D4900">
              <w:t>534–1,515</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6552A064" w14:textId="77777777" w:rsidR="006D4900" w:rsidRPr="006D4900" w:rsidRDefault="006D4900" w:rsidP="006D4900">
            <w:pPr>
              <w:pStyle w:val="CDITable-RowCentre"/>
            </w:pPr>
            <w:r w:rsidRPr="006D4900">
              <w:t>959</w:t>
            </w:r>
          </w:p>
        </w:tc>
        <w:tc>
          <w:tcPr>
            <w:tcW w:w="1351"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2DE005C1" w14:textId="77777777" w:rsidR="006D4900" w:rsidRPr="006D4900" w:rsidRDefault="006D4900" w:rsidP="006D4900">
            <w:pPr>
              <w:pStyle w:val="CDITable-RowCentre"/>
            </w:pPr>
            <w:r w:rsidRPr="006D4900">
              <w:t>457–1,515</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06498666" w14:textId="77777777" w:rsidR="006D4900" w:rsidRPr="006D4900" w:rsidRDefault="006D4900" w:rsidP="006D4900">
            <w:pPr>
              <w:pStyle w:val="CDITable-RowCentre"/>
            </w:pPr>
            <w:r w:rsidRPr="006D4900">
              <w:t>730</w:t>
            </w:r>
          </w:p>
        </w:tc>
        <w:tc>
          <w:tcPr>
            <w:tcW w:w="1351" w:type="dxa"/>
            <w:tcBorders>
              <w:bottom w:val="single" w:sz="8" w:space="0" w:color="033636" w:themeColor="text2"/>
            </w:tcBorders>
            <w:tcMar>
              <w:top w:w="113" w:type="dxa"/>
              <w:left w:w="113" w:type="dxa"/>
              <w:bottom w:w="113" w:type="dxa"/>
              <w:right w:w="113" w:type="dxa"/>
            </w:tcMar>
            <w:vAlign w:val="center"/>
          </w:tcPr>
          <w:p w14:paraId="4DB59CE5" w14:textId="77777777" w:rsidR="006D4900" w:rsidRPr="006D4900" w:rsidRDefault="006D4900" w:rsidP="006D4900">
            <w:pPr>
              <w:pStyle w:val="CDITable-RowCentre"/>
            </w:pPr>
            <w:r w:rsidRPr="006D4900">
              <w:t>592–1,210</w:t>
            </w:r>
          </w:p>
        </w:tc>
      </w:tr>
      <w:tr w:rsidR="006D4900" w:rsidRPr="006D4900" w14:paraId="3D706DAE" w14:textId="77777777" w:rsidTr="00400DB8">
        <w:trPr>
          <w:divId w:val="935526654"/>
          <w:trHeight w:val="20"/>
        </w:trPr>
        <w:tc>
          <w:tcPr>
            <w:tcW w:w="3118"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75C6918D" w14:textId="77777777" w:rsidR="006D4900" w:rsidRPr="006D4900" w:rsidRDefault="006D4900" w:rsidP="006D4900">
            <w:pPr>
              <w:pStyle w:val="CDITable-RowLeft"/>
            </w:pPr>
            <w:r w:rsidRPr="006D4900">
              <w:t>Current or recent infection: throat</w:t>
            </w:r>
          </w:p>
        </w:tc>
        <w:tc>
          <w:tcPr>
            <w:tcW w:w="3118" w:type="dxa"/>
            <w:tcBorders>
              <w:top w:val="single" w:sz="8" w:space="0" w:color="033636" w:themeColor="text2"/>
            </w:tcBorders>
            <w:tcMar>
              <w:top w:w="113" w:type="dxa"/>
              <w:left w:w="113" w:type="dxa"/>
              <w:bottom w:w="113" w:type="dxa"/>
              <w:right w:w="113" w:type="dxa"/>
            </w:tcMar>
            <w:vAlign w:val="center"/>
          </w:tcPr>
          <w:p w14:paraId="5DCACB5A" w14:textId="77777777" w:rsidR="006D4900" w:rsidRPr="006D4900" w:rsidRDefault="006D4900" w:rsidP="006D4900">
            <w:pPr>
              <w:pStyle w:val="CDITable-RowLeft"/>
            </w:pPr>
            <w:r w:rsidRPr="006D4900">
              <w:t>Sore throat diagnosed</w:t>
            </w:r>
          </w:p>
        </w:tc>
        <w:tc>
          <w:tcPr>
            <w:tcW w:w="1351" w:type="dxa"/>
            <w:tcBorders>
              <w:top w:val="single" w:sz="8" w:space="0" w:color="033636" w:themeColor="text2"/>
            </w:tcBorders>
            <w:tcMar>
              <w:top w:w="113" w:type="dxa"/>
              <w:left w:w="113" w:type="dxa"/>
              <w:bottom w:w="113" w:type="dxa"/>
              <w:right w:w="113" w:type="dxa"/>
            </w:tcMar>
            <w:vAlign w:val="center"/>
          </w:tcPr>
          <w:p w14:paraId="47E822B9" w14:textId="77777777" w:rsidR="006D4900" w:rsidRPr="006D4900" w:rsidRDefault="006D4900" w:rsidP="006D4900">
            <w:pPr>
              <w:pStyle w:val="CDITable-RowCentre"/>
            </w:pPr>
            <w:r w:rsidRPr="006D4900">
              <w:t>14/42</w:t>
            </w:r>
          </w:p>
        </w:tc>
        <w:tc>
          <w:tcPr>
            <w:tcW w:w="1352"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2F88E3AE" w14:textId="77777777" w:rsidR="006D4900" w:rsidRPr="006D4900" w:rsidRDefault="006D4900" w:rsidP="006D4900">
            <w:pPr>
              <w:pStyle w:val="CDITable-RowCentre"/>
            </w:pPr>
            <w:r w:rsidRPr="006D4900">
              <w:t>33</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31936733" w14:textId="77777777" w:rsidR="006D4900" w:rsidRPr="006D4900" w:rsidRDefault="006D4900" w:rsidP="006D4900">
            <w:pPr>
              <w:pStyle w:val="CDITable-RowCentre"/>
            </w:pPr>
            <w:r w:rsidRPr="006D4900">
              <w:t>8/26</w:t>
            </w:r>
          </w:p>
        </w:tc>
        <w:tc>
          <w:tcPr>
            <w:tcW w:w="1351"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7EEAD2F6" w14:textId="77777777" w:rsidR="006D4900" w:rsidRPr="006D4900" w:rsidRDefault="006D4900" w:rsidP="006D4900">
            <w:pPr>
              <w:pStyle w:val="CDITable-RowCentre"/>
            </w:pPr>
            <w:r w:rsidRPr="006D4900">
              <w:t>31</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11AC137E" w14:textId="77777777" w:rsidR="006D4900" w:rsidRPr="006D4900" w:rsidRDefault="006D4900" w:rsidP="006D4900">
            <w:pPr>
              <w:pStyle w:val="CDITable-RowCentre"/>
            </w:pPr>
            <w:r w:rsidRPr="006D4900">
              <w:t>4/7</w:t>
            </w:r>
          </w:p>
        </w:tc>
        <w:tc>
          <w:tcPr>
            <w:tcW w:w="1351" w:type="dxa"/>
            <w:tcBorders>
              <w:top w:val="single" w:sz="8" w:space="0" w:color="033636" w:themeColor="text2"/>
            </w:tcBorders>
            <w:tcMar>
              <w:top w:w="113" w:type="dxa"/>
              <w:left w:w="113" w:type="dxa"/>
              <w:bottom w:w="113" w:type="dxa"/>
              <w:right w:w="113" w:type="dxa"/>
            </w:tcMar>
            <w:vAlign w:val="center"/>
          </w:tcPr>
          <w:p w14:paraId="11748073" w14:textId="77777777" w:rsidR="006D4900" w:rsidRPr="006D4900" w:rsidRDefault="006D4900" w:rsidP="006D4900">
            <w:pPr>
              <w:pStyle w:val="CDITable-RowCentre"/>
            </w:pPr>
            <w:r w:rsidRPr="006D4900">
              <w:t>57</w:t>
            </w:r>
          </w:p>
        </w:tc>
      </w:tr>
      <w:tr w:rsidR="006D4900" w:rsidRPr="006D4900" w14:paraId="30967995"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1D2C8501" w14:textId="77777777" w:rsidR="006D4900" w:rsidRPr="006D4900" w:rsidRDefault="006D4900" w:rsidP="006D4900"/>
        </w:tc>
        <w:tc>
          <w:tcPr>
            <w:tcW w:w="3118" w:type="dxa"/>
            <w:tcBorders>
              <w:bottom w:val="single" w:sz="8" w:space="0" w:color="033636" w:themeColor="text2"/>
            </w:tcBorders>
            <w:tcMar>
              <w:top w:w="113" w:type="dxa"/>
              <w:left w:w="113" w:type="dxa"/>
              <w:bottom w:w="113" w:type="dxa"/>
              <w:right w:w="113" w:type="dxa"/>
            </w:tcMar>
            <w:vAlign w:val="center"/>
          </w:tcPr>
          <w:p w14:paraId="4FF73434" w14:textId="77777777" w:rsidR="006D4900" w:rsidRPr="006D4900" w:rsidRDefault="006D4900" w:rsidP="006D4900">
            <w:pPr>
              <w:pStyle w:val="CDITable-RowLeft"/>
            </w:pPr>
            <w:r w:rsidRPr="006D4900">
              <w:t>Throat swab collected</w:t>
            </w:r>
            <w:r w:rsidRPr="00400DB8">
              <w:rPr>
                <w:vertAlign w:val="superscript"/>
              </w:rPr>
              <w:t>c</w:t>
            </w:r>
          </w:p>
        </w:tc>
        <w:tc>
          <w:tcPr>
            <w:tcW w:w="1351" w:type="dxa"/>
            <w:tcBorders>
              <w:bottom w:val="single" w:sz="8" w:space="0" w:color="033636" w:themeColor="text2"/>
            </w:tcBorders>
            <w:tcMar>
              <w:top w:w="113" w:type="dxa"/>
              <w:left w:w="113" w:type="dxa"/>
              <w:bottom w:w="113" w:type="dxa"/>
              <w:right w:w="113" w:type="dxa"/>
            </w:tcMar>
            <w:vAlign w:val="center"/>
          </w:tcPr>
          <w:p w14:paraId="599A9B9C" w14:textId="77777777" w:rsidR="006D4900" w:rsidRPr="006D4900" w:rsidRDefault="006D4900" w:rsidP="006D4900">
            <w:pPr>
              <w:pStyle w:val="CDITable-RowCentre"/>
            </w:pPr>
            <w:r w:rsidRPr="006D4900">
              <w:t>14/42</w:t>
            </w:r>
          </w:p>
        </w:tc>
        <w:tc>
          <w:tcPr>
            <w:tcW w:w="1352"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1B509F05" w14:textId="77777777" w:rsidR="006D4900" w:rsidRPr="006D4900" w:rsidRDefault="006D4900" w:rsidP="006D4900">
            <w:pPr>
              <w:pStyle w:val="CDITable-RowCentre"/>
            </w:pPr>
            <w:r w:rsidRPr="006D4900">
              <w:t>33</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7EF13324" w14:textId="77777777" w:rsidR="006D4900" w:rsidRPr="006D4900" w:rsidRDefault="006D4900" w:rsidP="006D4900">
            <w:pPr>
              <w:pStyle w:val="CDITable-RowCentre"/>
            </w:pPr>
            <w:r w:rsidRPr="006D4900">
              <w:t>7/26</w:t>
            </w:r>
          </w:p>
        </w:tc>
        <w:tc>
          <w:tcPr>
            <w:tcW w:w="1351"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0643F25A" w14:textId="77777777" w:rsidR="006D4900" w:rsidRPr="006D4900" w:rsidRDefault="006D4900" w:rsidP="006D4900">
            <w:pPr>
              <w:pStyle w:val="CDITable-RowCentre"/>
            </w:pPr>
            <w:r w:rsidRPr="006D4900">
              <w:t>27</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77B52D5A" w14:textId="77777777" w:rsidR="006D4900" w:rsidRPr="006D4900" w:rsidRDefault="006D4900" w:rsidP="006D4900">
            <w:pPr>
              <w:pStyle w:val="CDITable-RowCentre"/>
            </w:pPr>
            <w:r w:rsidRPr="006D4900">
              <w:t>4/7</w:t>
            </w:r>
          </w:p>
        </w:tc>
        <w:tc>
          <w:tcPr>
            <w:tcW w:w="1351" w:type="dxa"/>
            <w:tcBorders>
              <w:bottom w:val="single" w:sz="8" w:space="0" w:color="033636" w:themeColor="text2"/>
            </w:tcBorders>
            <w:tcMar>
              <w:top w:w="113" w:type="dxa"/>
              <w:left w:w="113" w:type="dxa"/>
              <w:bottom w:w="113" w:type="dxa"/>
              <w:right w:w="113" w:type="dxa"/>
            </w:tcMar>
            <w:vAlign w:val="center"/>
          </w:tcPr>
          <w:p w14:paraId="7C99BA8C" w14:textId="77777777" w:rsidR="006D4900" w:rsidRPr="006D4900" w:rsidRDefault="006D4900" w:rsidP="006D4900">
            <w:pPr>
              <w:pStyle w:val="CDITable-RowCentre"/>
            </w:pPr>
            <w:r w:rsidRPr="006D4900">
              <w:t>57</w:t>
            </w:r>
          </w:p>
        </w:tc>
      </w:tr>
      <w:tr w:rsidR="006D4900" w:rsidRPr="006D4900" w14:paraId="5D70169C" w14:textId="77777777" w:rsidTr="00400DB8">
        <w:trPr>
          <w:divId w:val="935526654"/>
          <w:trHeight w:val="20"/>
        </w:trPr>
        <w:tc>
          <w:tcPr>
            <w:tcW w:w="3118"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17C31230" w14:textId="77777777" w:rsidR="006D4900" w:rsidRPr="006D4900" w:rsidRDefault="006D4900" w:rsidP="006D4900">
            <w:pPr>
              <w:pStyle w:val="CDITable-RowLeft"/>
            </w:pPr>
            <w:r w:rsidRPr="006D4900">
              <w:t>Current or recent infection: skin</w:t>
            </w:r>
          </w:p>
        </w:tc>
        <w:tc>
          <w:tcPr>
            <w:tcW w:w="3118" w:type="dxa"/>
            <w:tcBorders>
              <w:top w:val="single" w:sz="8" w:space="0" w:color="033636" w:themeColor="text2"/>
            </w:tcBorders>
            <w:tcMar>
              <w:top w:w="113" w:type="dxa"/>
              <w:left w:w="113" w:type="dxa"/>
              <w:bottom w:w="113" w:type="dxa"/>
              <w:right w:w="113" w:type="dxa"/>
            </w:tcMar>
            <w:vAlign w:val="center"/>
          </w:tcPr>
          <w:p w14:paraId="319D72BC" w14:textId="77777777" w:rsidR="006D4900" w:rsidRPr="006D4900" w:rsidRDefault="006D4900" w:rsidP="00400DB8">
            <w:pPr>
              <w:pStyle w:val="CDITable-RowLeft"/>
            </w:pPr>
            <w:r w:rsidRPr="006D4900">
              <w:t>Strep A cultured from throat swab</w:t>
            </w:r>
          </w:p>
        </w:tc>
        <w:tc>
          <w:tcPr>
            <w:tcW w:w="1351" w:type="dxa"/>
            <w:tcBorders>
              <w:top w:val="single" w:sz="8" w:space="0" w:color="033636" w:themeColor="text2"/>
            </w:tcBorders>
            <w:tcMar>
              <w:top w:w="113" w:type="dxa"/>
              <w:left w:w="113" w:type="dxa"/>
              <w:bottom w:w="113" w:type="dxa"/>
              <w:right w:w="113" w:type="dxa"/>
            </w:tcMar>
            <w:vAlign w:val="center"/>
          </w:tcPr>
          <w:p w14:paraId="00477217" w14:textId="77777777" w:rsidR="006D4900" w:rsidRPr="006D4900" w:rsidRDefault="006D4900" w:rsidP="006D4900">
            <w:pPr>
              <w:pStyle w:val="CDITable-RowCentre"/>
            </w:pPr>
            <w:r w:rsidRPr="006D4900">
              <w:t>1/14</w:t>
            </w:r>
          </w:p>
        </w:tc>
        <w:tc>
          <w:tcPr>
            <w:tcW w:w="1352"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4FF07D06" w14:textId="77777777" w:rsidR="006D4900" w:rsidRPr="006D4900" w:rsidRDefault="006D4900" w:rsidP="006D4900">
            <w:pPr>
              <w:pStyle w:val="CDITable-RowCentre"/>
            </w:pPr>
            <w:r w:rsidRPr="006D4900">
              <w:t>7</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57F93083" w14:textId="77777777" w:rsidR="006D4900" w:rsidRPr="006D4900" w:rsidRDefault="006D4900" w:rsidP="006D4900">
            <w:pPr>
              <w:pStyle w:val="CDITable-RowCentre"/>
            </w:pPr>
            <w:r w:rsidRPr="006D4900">
              <w:t>2/7</w:t>
            </w:r>
          </w:p>
        </w:tc>
        <w:tc>
          <w:tcPr>
            <w:tcW w:w="1351"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0DC6F7F2" w14:textId="77777777" w:rsidR="006D4900" w:rsidRPr="006D4900" w:rsidRDefault="006D4900" w:rsidP="006D4900">
            <w:pPr>
              <w:pStyle w:val="CDITable-RowCentre"/>
            </w:pPr>
            <w:r w:rsidRPr="006D4900">
              <w:t>29</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2522B70A" w14:textId="77777777" w:rsidR="006D4900" w:rsidRPr="006D4900" w:rsidRDefault="006D4900" w:rsidP="006D4900">
            <w:pPr>
              <w:pStyle w:val="CDITable-RowCentre"/>
            </w:pPr>
            <w:r w:rsidRPr="006D4900">
              <w:t>0/4</w:t>
            </w:r>
          </w:p>
        </w:tc>
        <w:tc>
          <w:tcPr>
            <w:tcW w:w="1351" w:type="dxa"/>
            <w:tcBorders>
              <w:top w:val="single" w:sz="8" w:space="0" w:color="033636" w:themeColor="text2"/>
            </w:tcBorders>
            <w:tcMar>
              <w:top w:w="113" w:type="dxa"/>
              <w:left w:w="113" w:type="dxa"/>
              <w:bottom w:w="113" w:type="dxa"/>
              <w:right w:w="113" w:type="dxa"/>
            </w:tcMar>
            <w:vAlign w:val="center"/>
          </w:tcPr>
          <w:p w14:paraId="3FD4AFFB" w14:textId="77777777" w:rsidR="006D4900" w:rsidRPr="006D4900" w:rsidRDefault="006D4900" w:rsidP="006D4900">
            <w:pPr>
              <w:pStyle w:val="CDITable-RowCentre"/>
            </w:pPr>
            <w:r w:rsidRPr="006D4900">
              <w:t>0</w:t>
            </w:r>
          </w:p>
        </w:tc>
      </w:tr>
      <w:tr w:rsidR="006D4900" w:rsidRPr="006D4900" w14:paraId="130D635E"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30204420" w14:textId="77777777" w:rsidR="006D4900" w:rsidRPr="006D4900" w:rsidRDefault="006D4900" w:rsidP="006D4900"/>
        </w:tc>
        <w:tc>
          <w:tcPr>
            <w:tcW w:w="3118" w:type="dxa"/>
            <w:tcMar>
              <w:top w:w="113" w:type="dxa"/>
              <w:left w:w="113" w:type="dxa"/>
              <w:bottom w:w="113" w:type="dxa"/>
              <w:right w:w="113" w:type="dxa"/>
            </w:tcMar>
            <w:vAlign w:val="center"/>
          </w:tcPr>
          <w:p w14:paraId="60E25737" w14:textId="77777777" w:rsidR="006D4900" w:rsidRPr="006D4900" w:rsidRDefault="006D4900" w:rsidP="00400DB8">
            <w:pPr>
              <w:pStyle w:val="CDITable-RowLeft"/>
            </w:pPr>
            <w:r w:rsidRPr="006D4900">
              <w:t>Impetigo or skin lesions diagnosed</w:t>
            </w:r>
          </w:p>
        </w:tc>
        <w:tc>
          <w:tcPr>
            <w:tcW w:w="1351" w:type="dxa"/>
            <w:tcMar>
              <w:top w:w="113" w:type="dxa"/>
              <w:left w:w="113" w:type="dxa"/>
              <w:bottom w:w="113" w:type="dxa"/>
              <w:right w:w="113" w:type="dxa"/>
            </w:tcMar>
            <w:vAlign w:val="center"/>
          </w:tcPr>
          <w:p w14:paraId="6638BFC8" w14:textId="77777777" w:rsidR="006D4900" w:rsidRPr="006D4900" w:rsidRDefault="006D4900" w:rsidP="006D4900">
            <w:pPr>
              <w:pStyle w:val="CDITable-RowCentre"/>
            </w:pPr>
            <w:r w:rsidRPr="006D4900">
              <w:t>29/42</w:t>
            </w:r>
          </w:p>
        </w:tc>
        <w:tc>
          <w:tcPr>
            <w:tcW w:w="1352" w:type="dxa"/>
            <w:tcBorders>
              <w:right w:val="single" w:sz="6" w:space="0" w:color="033636" w:themeColor="text2"/>
            </w:tcBorders>
            <w:tcMar>
              <w:top w:w="113" w:type="dxa"/>
              <w:left w:w="113" w:type="dxa"/>
              <w:bottom w:w="113" w:type="dxa"/>
              <w:right w:w="113" w:type="dxa"/>
            </w:tcMar>
            <w:vAlign w:val="center"/>
          </w:tcPr>
          <w:p w14:paraId="2A223D97" w14:textId="77777777" w:rsidR="006D4900" w:rsidRPr="006D4900" w:rsidRDefault="006D4900" w:rsidP="006D4900">
            <w:pPr>
              <w:pStyle w:val="CDITable-RowCentre"/>
            </w:pPr>
            <w:r w:rsidRPr="006D4900">
              <w:t>69</w:t>
            </w:r>
          </w:p>
        </w:tc>
        <w:tc>
          <w:tcPr>
            <w:tcW w:w="1351" w:type="dxa"/>
            <w:tcBorders>
              <w:left w:val="single" w:sz="6" w:space="0" w:color="033636" w:themeColor="text2"/>
            </w:tcBorders>
            <w:tcMar>
              <w:top w:w="113" w:type="dxa"/>
              <w:left w:w="113" w:type="dxa"/>
              <w:bottom w:w="113" w:type="dxa"/>
              <w:right w:w="113" w:type="dxa"/>
            </w:tcMar>
            <w:vAlign w:val="center"/>
          </w:tcPr>
          <w:p w14:paraId="7EA18CD6" w14:textId="77777777" w:rsidR="006D4900" w:rsidRPr="006D4900" w:rsidRDefault="006D4900" w:rsidP="006D4900">
            <w:pPr>
              <w:pStyle w:val="CDITable-RowCentre"/>
            </w:pPr>
            <w:r w:rsidRPr="006D4900">
              <w:t>15/26</w:t>
            </w:r>
          </w:p>
        </w:tc>
        <w:tc>
          <w:tcPr>
            <w:tcW w:w="1351" w:type="dxa"/>
            <w:tcBorders>
              <w:right w:val="single" w:sz="6" w:space="0" w:color="033636" w:themeColor="text2"/>
            </w:tcBorders>
            <w:tcMar>
              <w:top w:w="113" w:type="dxa"/>
              <w:left w:w="113" w:type="dxa"/>
              <w:bottom w:w="113" w:type="dxa"/>
              <w:right w:w="113" w:type="dxa"/>
            </w:tcMar>
            <w:vAlign w:val="center"/>
          </w:tcPr>
          <w:p w14:paraId="16A4FCC8" w14:textId="77777777" w:rsidR="006D4900" w:rsidRPr="006D4900" w:rsidRDefault="006D4900" w:rsidP="006D4900">
            <w:pPr>
              <w:pStyle w:val="CDITable-RowCentre"/>
            </w:pPr>
            <w:r w:rsidRPr="006D4900">
              <w:t>58</w:t>
            </w:r>
          </w:p>
        </w:tc>
        <w:tc>
          <w:tcPr>
            <w:tcW w:w="1351" w:type="dxa"/>
            <w:tcBorders>
              <w:left w:val="single" w:sz="6" w:space="0" w:color="033636" w:themeColor="text2"/>
            </w:tcBorders>
            <w:tcMar>
              <w:top w:w="113" w:type="dxa"/>
              <w:left w:w="113" w:type="dxa"/>
              <w:bottom w:w="113" w:type="dxa"/>
              <w:right w:w="113" w:type="dxa"/>
            </w:tcMar>
            <w:vAlign w:val="center"/>
          </w:tcPr>
          <w:p w14:paraId="5282550E" w14:textId="77777777" w:rsidR="006D4900" w:rsidRPr="006D4900" w:rsidRDefault="006D4900" w:rsidP="006D4900">
            <w:pPr>
              <w:pStyle w:val="CDITable-RowCentre"/>
            </w:pPr>
            <w:r w:rsidRPr="006D4900">
              <w:t>4/7</w:t>
            </w:r>
          </w:p>
        </w:tc>
        <w:tc>
          <w:tcPr>
            <w:tcW w:w="1351" w:type="dxa"/>
            <w:tcMar>
              <w:top w:w="113" w:type="dxa"/>
              <w:left w:w="113" w:type="dxa"/>
              <w:bottom w:w="113" w:type="dxa"/>
              <w:right w:w="113" w:type="dxa"/>
            </w:tcMar>
            <w:vAlign w:val="center"/>
          </w:tcPr>
          <w:p w14:paraId="6D05D01A" w14:textId="77777777" w:rsidR="006D4900" w:rsidRPr="006D4900" w:rsidRDefault="006D4900" w:rsidP="006D4900">
            <w:pPr>
              <w:pStyle w:val="CDITable-RowCentre"/>
            </w:pPr>
            <w:r w:rsidRPr="006D4900">
              <w:t>57</w:t>
            </w:r>
          </w:p>
        </w:tc>
      </w:tr>
      <w:tr w:rsidR="006D4900" w:rsidRPr="006D4900" w14:paraId="250B5888"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03A9D29C" w14:textId="77777777" w:rsidR="006D4900" w:rsidRPr="006D4900" w:rsidRDefault="006D4900" w:rsidP="006D4900"/>
        </w:tc>
        <w:tc>
          <w:tcPr>
            <w:tcW w:w="3118" w:type="dxa"/>
            <w:tcBorders>
              <w:bottom w:val="single" w:sz="8" w:space="0" w:color="033636" w:themeColor="text2"/>
            </w:tcBorders>
            <w:tcMar>
              <w:top w:w="113" w:type="dxa"/>
              <w:left w:w="113" w:type="dxa"/>
              <w:bottom w:w="113" w:type="dxa"/>
              <w:right w:w="113" w:type="dxa"/>
            </w:tcMar>
            <w:vAlign w:val="center"/>
          </w:tcPr>
          <w:p w14:paraId="25016CC3" w14:textId="77777777" w:rsidR="006D4900" w:rsidRPr="006D4900" w:rsidRDefault="006D4900" w:rsidP="00400DB8">
            <w:pPr>
              <w:pStyle w:val="CDITable-RowLeft"/>
            </w:pPr>
            <w:r w:rsidRPr="006D4900">
              <w:t>Skin swab collected</w:t>
            </w:r>
            <w:r w:rsidRPr="00400DB8">
              <w:rPr>
                <w:vertAlign w:val="superscript"/>
              </w:rPr>
              <w:t>d</w:t>
            </w:r>
          </w:p>
        </w:tc>
        <w:tc>
          <w:tcPr>
            <w:tcW w:w="1351" w:type="dxa"/>
            <w:tcBorders>
              <w:bottom w:val="single" w:sz="8" w:space="0" w:color="033636" w:themeColor="text2"/>
            </w:tcBorders>
            <w:tcMar>
              <w:top w:w="113" w:type="dxa"/>
              <w:left w:w="113" w:type="dxa"/>
              <w:bottom w:w="113" w:type="dxa"/>
              <w:right w:w="113" w:type="dxa"/>
            </w:tcMar>
            <w:vAlign w:val="center"/>
          </w:tcPr>
          <w:p w14:paraId="42B63042" w14:textId="77777777" w:rsidR="006D4900" w:rsidRPr="006D4900" w:rsidRDefault="006D4900" w:rsidP="006D4900">
            <w:pPr>
              <w:pStyle w:val="CDITable-RowCentre"/>
            </w:pPr>
            <w:r w:rsidRPr="006D4900">
              <w:t>19/42</w:t>
            </w:r>
          </w:p>
        </w:tc>
        <w:tc>
          <w:tcPr>
            <w:tcW w:w="1352"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62662F63" w14:textId="77777777" w:rsidR="006D4900" w:rsidRPr="006D4900" w:rsidRDefault="006D4900" w:rsidP="006D4900">
            <w:pPr>
              <w:pStyle w:val="CDITable-RowCentre"/>
            </w:pPr>
            <w:r w:rsidRPr="006D4900">
              <w:t>45</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0534D9E3" w14:textId="77777777" w:rsidR="006D4900" w:rsidRPr="006D4900" w:rsidRDefault="006D4900" w:rsidP="006D4900">
            <w:pPr>
              <w:pStyle w:val="CDITable-RowCentre"/>
            </w:pPr>
            <w:r w:rsidRPr="006D4900">
              <w:t>8/26</w:t>
            </w:r>
          </w:p>
        </w:tc>
        <w:tc>
          <w:tcPr>
            <w:tcW w:w="1351"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579782AD" w14:textId="77777777" w:rsidR="006D4900" w:rsidRPr="006D4900" w:rsidRDefault="006D4900" w:rsidP="006D4900">
            <w:pPr>
              <w:pStyle w:val="CDITable-RowCentre"/>
            </w:pPr>
            <w:r w:rsidRPr="006D4900">
              <w:t>31</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6A7CFCF0" w14:textId="77777777" w:rsidR="006D4900" w:rsidRPr="006D4900" w:rsidRDefault="006D4900" w:rsidP="006D4900">
            <w:pPr>
              <w:pStyle w:val="CDITable-RowCentre"/>
            </w:pPr>
            <w:r w:rsidRPr="006D4900">
              <w:t>2/7</w:t>
            </w:r>
          </w:p>
        </w:tc>
        <w:tc>
          <w:tcPr>
            <w:tcW w:w="1351" w:type="dxa"/>
            <w:tcBorders>
              <w:bottom w:val="single" w:sz="8" w:space="0" w:color="033636" w:themeColor="text2"/>
            </w:tcBorders>
            <w:tcMar>
              <w:top w:w="113" w:type="dxa"/>
              <w:left w:w="113" w:type="dxa"/>
              <w:bottom w:w="113" w:type="dxa"/>
              <w:right w:w="113" w:type="dxa"/>
            </w:tcMar>
            <w:vAlign w:val="center"/>
          </w:tcPr>
          <w:p w14:paraId="58007813" w14:textId="77777777" w:rsidR="006D4900" w:rsidRPr="006D4900" w:rsidRDefault="006D4900" w:rsidP="006D4900">
            <w:pPr>
              <w:pStyle w:val="CDITable-RowCentre"/>
            </w:pPr>
            <w:r w:rsidRPr="006D4900">
              <w:t>29</w:t>
            </w:r>
          </w:p>
        </w:tc>
      </w:tr>
      <w:tr w:rsidR="006D4900" w:rsidRPr="006D4900" w14:paraId="51A79AED" w14:textId="77777777" w:rsidTr="00400DB8">
        <w:trPr>
          <w:divId w:val="935526654"/>
          <w:trHeight w:val="20"/>
        </w:trPr>
        <w:tc>
          <w:tcPr>
            <w:tcW w:w="3118"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3F5014E6" w14:textId="77777777" w:rsidR="006D4900" w:rsidRPr="006D4900" w:rsidRDefault="006D4900" w:rsidP="006D4900">
            <w:pPr>
              <w:pStyle w:val="CDITable-RowLeft"/>
            </w:pPr>
            <w:r w:rsidRPr="006D4900">
              <w:t>Current or recent infection: scabies</w:t>
            </w:r>
          </w:p>
        </w:tc>
        <w:tc>
          <w:tcPr>
            <w:tcW w:w="3118" w:type="dxa"/>
            <w:tcBorders>
              <w:top w:val="single" w:sz="8" w:space="0" w:color="033636" w:themeColor="text2"/>
            </w:tcBorders>
            <w:tcMar>
              <w:top w:w="113" w:type="dxa"/>
              <w:left w:w="113" w:type="dxa"/>
              <w:bottom w:w="113" w:type="dxa"/>
              <w:right w:w="113" w:type="dxa"/>
            </w:tcMar>
            <w:vAlign w:val="center"/>
          </w:tcPr>
          <w:p w14:paraId="7E3E9DEF" w14:textId="77777777" w:rsidR="006D4900" w:rsidRPr="006D4900" w:rsidRDefault="006D4900" w:rsidP="006D4900">
            <w:pPr>
              <w:pStyle w:val="CDITable-RowLeft"/>
            </w:pPr>
            <w:r w:rsidRPr="006D4900">
              <w:t>Strep A cultured from skin swab</w:t>
            </w:r>
          </w:p>
        </w:tc>
        <w:tc>
          <w:tcPr>
            <w:tcW w:w="1351" w:type="dxa"/>
            <w:tcBorders>
              <w:top w:val="single" w:sz="8" w:space="0" w:color="033636" w:themeColor="text2"/>
            </w:tcBorders>
            <w:tcMar>
              <w:top w:w="113" w:type="dxa"/>
              <w:left w:w="113" w:type="dxa"/>
              <w:bottom w:w="113" w:type="dxa"/>
              <w:right w:w="113" w:type="dxa"/>
            </w:tcMar>
            <w:vAlign w:val="center"/>
          </w:tcPr>
          <w:p w14:paraId="433DC69F" w14:textId="77777777" w:rsidR="006D4900" w:rsidRPr="006D4900" w:rsidRDefault="006D4900" w:rsidP="006D4900">
            <w:pPr>
              <w:pStyle w:val="CDITable-RowCentre"/>
            </w:pPr>
            <w:r w:rsidRPr="006D4900">
              <w:t>12/19</w:t>
            </w:r>
          </w:p>
        </w:tc>
        <w:tc>
          <w:tcPr>
            <w:tcW w:w="1352"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33F991B6" w14:textId="77777777" w:rsidR="006D4900" w:rsidRPr="006D4900" w:rsidRDefault="006D4900" w:rsidP="006D4900">
            <w:pPr>
              <w:pStyle w:val="CDITable-RowCentre"/>
            </w:pPr>
            <w:r w:rsidRPr="006D4900">
              <w:t>64</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0857C5B1" w14:textId="77777777" w:rsidR="006D4900" w:rsidRPr="006D4900" w:rsidRDefault="006D4900" w:rsidP="006D4900">
            <w:pPr>
              <w:pStyle w:val="CDITable-RowCentre"/>
            </w:pPr>
            <w:r w:rsidRPr="006D4900">
              <w:t>8/8</w:t>
            </w:r>
          </w:p>
        </w:tc>
        <w:tc>
          <w:tcPr>
            <w:tcW w:w="1351" w:type="dxa"/>
            <w:tcBorders>
              <w:top w:val="single" w:sz="8" w:space="0" w:color="033636" w:themeColor="text2"/>
              <w:right w:val="single" w:sz="6" w:space="0" w:color="033636" w:themeColor="text2"/>
            </w:tcBorders>
            <w:tcMar>
              <w:top w:w="113" w:type="dxa"/>
              <w:left w:w="113" w:type="dxa"/>
              <w:bottom w:w="113" w:type="dxa"/>
              <w:right w:w="113" w:type="dxa"/>
            </w:tcMar>
            <w:vAlign w:val="center"/>
          </w:tcPr>
          <w:p w14:paraId="2A47D139" w14:textId="77777777" w:rsidR="006D4900" w:rsidRPr="006D4900" w:rsidRDefault="006D4900" w:rsidP="006D4900">
            <w:pPr>
              <w:pStyle w:val="CDITable-RowCentre"/>
            </w:pPr>
            <w:r w:rsidRPr="006D4900">
              <w:t>100</w:t>
            </w:r>
          </w:p>
        </w:tc>
        <w:tc>
          <w:tcPr>
            <w:tcW w:w="1351" w:type="dxa"/>
            <w:tcBorders>
              <w:top w:val="single" w:sz="8" w:space="0" w:color="033636" w:themeColor="text2"/>
              <w:left w:val="single" w:sz="6" w:space="0" w:color="033636" w:themeColor="text2"/>
            </w:tcBorders>
            <w:tcMar>
              <w:top w:w="113" w:type="dxa"/>
              <w:left w:w="113" w:type="dxa"/>
              <w:bottom w:w="113" w:type="dxa"/>
              <w:right w:w="113" w:type="dxa"/>
            </w:tcMar>
            <w:vAlign w:val="center"/>
          </w:tcPr>
          <w:p w14:paraId="20323AD8" w14:textId="77777777" w:rsidR="006D4900" w:rsidRPr="006D4900" w:rsidRDefault="006D4900" w:rsidP="006D4900">
            <w:pPr>
              <w:pStyle w:val="CDITable-RowCentre"/>
            </w:pPr>
            <w:r w:rsidRPr="006D4900">
              <w:t>2/2</w:t>
            </w:r>
          </w:p>
        </w:tc>
        <w:tc>
          <w:tcPr>
            <w:tcW w:w="1351" w:type="dxa"/>
            <w:tcBorders>
              <w:top w:val="single" w:sz="8" w:space="0" w:color="033636" w:themeColor="text2"/>
            </w:tcBorders>
            <w:tcMar>
              <w:top w:w="113" w:type="dxa"/>
              <w:left w:w="113" w:type="dxa"/>
              <w:bottom w:w="113" w:type="dxa"/>
              <w:right w:w="113" w:type="dxa"/>
            </w:tcMar>
            <w:vAlign w:val="center"/>
          </w:tcPr>
          <w:p w14:paraId="420840B8" w14:textId="77777777" w:rsidR="006D4900" w:rsidRPr="006D4900" w:rsidRDefault="006D4900" w:rsidP="006D4900">
            <w:pPr>
              <w:pStyle w:val="CDITable-RowCentre"/>
            </w:pPr>
            <w:r w:rsidRPr="006D4900">
              <w:t>100</w:t>
            </w:r>
          </w:p>
        </w:tc>
      </w:tr>
      <w:tr w:rsidR="006D4900" w:rsidRPr="006D4900" w14:paraId="521A91A8" w14:textId="77777777" w:rsidTr="00400DB8">
        <w:trPr>
          <w:divId w:val="935526654"/>
          <w:trHeight w:val="20"/>
        </w:trPr>
        <w:tc>
          <w:tcPr>
            <w:tcW w:w="3118" w:type="dxa"/>
            <w:vMerge/>
            <w:tcBorders>
              <w:bottom w:val="single" w:sz="8" w:space="0" w:color="033636" w:themeColor="text2"/>
            </w:tcBorders>
            <w:shd w:val="clear" w:color="auto" w:fill="C5FFEF" w:themeFill="background2" w:themeFillTint="33"/>
          </w:tcPr>
          <w:p w14:paraId="25EF45E6" w14:textId="77777777" w:rsidR="006D4900" w:rsidRPr="006D4900" w:rsidRDefault="006D4900" w:rsidP="006D4900"/>
        </w:tc>
        <w:tc>
          <w:tcPr>
            <w:tcW w:w="3118" w:type="dxa"/>
            <w:tcBorders>
              <w:bottom w:val="single" w:sz="8" w:space="0" w:color="033636" w:themeColor="text2"/>
            </w:tcBorders>
            <w:tcMar>
              <w:top w:w="113" w:type="dxa"/>
              <w:left w:w="113" w:type="dxa"/>
              <w:bottom w:w="113" w:type="dxa"/>
              <w:right w:w="113" w:type="dxa"/>
            </w:tcMar>
            <w:vAlign w:val="center"/>
          </w:tcPr>
          <w:p w14:paraId="67594D30" w14:textId="77777777" w:rsidR="006D4900" w:rsidRPr="006D4900" w:rsidRDefault="006D4900" w:rsidP="006D4900">
            <w:pPr>
              <w:pStyle w:val="CDITable-RowLeft"/>
            </w:pPr>
            <w:r w:rsidRPr="006D4900">
              <w:t>Scabies diagnosed</w:t>
            </w:r>
            <w:r w:rsidRPr="00400DB8">
              <w:rPr>
                <w:vertAlign w:val="superscript"/>
              </w:rPr>
              <w:t>e</w:t>
            </w:r>
          </w:p>
        </w:tc>
        <w:tc>
          <w:tcPr>
            <w:tcW w:w="1351" w:type="dxa"/>
            <w:tcBorders>
              <w:bottom w:val="single" w:sz="8" w:space="0" w:color="033636" w:themeColor="text2"/>
            </w:tcBorders>
            <w:tcMar>
              <w:top w:w="113" w:type="dxa"/>
              <w:left w:w="113" w:type="dxa"/>
              <w:bottom w:w="113" w:type="dxa"/>
              <w:right w:w="113" w:type="dxa"/>
            </w:tcMar>
            <w:vAlign w:val="center"/>
          </w:tcPr>
          <w:p w14:paraId="67F312F6" w14:textId="77777777" w:rsidR="006D4900" w:rsidRPr="006D4900" w:rsidRDefault="006D4900" w:rsidP="006D4900">
            <w:pPr>
              <w:pStyle w:val="CDITable-RowCentre"/>
            </w:pPr>
            <w:r w:rsidRPr="006D4900">
              <w:t>5/42</w:t>
            </w:r>
          </w:p>
        </w:tc>
        <w:tc>
          <w:tcPr>
            <w:tcW w:w="1352"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732B501D" w14:textId="77777777" w:rsidR="006D4900" w:rsidRPr="006D4900" w:rsidRDefault="006D4900" w:rsidP="006D4900">
            <w:pPr>
              <w:pStyle w:val="CDITable-RowCentre"/>
            </w:pPr>
            <w:r w:rsidRPr="006D4900">
              <w:t>12</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5FAD6630" w14:textId="77777777" w:rsidR="006D4900" w:rsidRPr="006D4900" w:rsidRDefault="006D4900" w:rsidP="006D4900">
            <w:pPr>
              <w:pStyle w:val="CDITable-RowCentre"/>
            </w:pPr>
            <w:r w:rsidRPr="006D4900">
              <w:t>4/26</w:t>
            </w:r>
          </w:p>
        </w:tc>
        <w:tc>
          <w:tcPr>
            <w:tcW w:w="1351" w:type="dxa"/>
            <w:tcBorders>
              <w:bottom w:val="single" w:sz="8" w:space="0" w:color="033636" w:themeColor="text2"/>
              <w:right w:val="single" w:sz="6" w:space="0" w:color="033636" w:themeColor="text2"/>
            </w:tcBorders>
            <w:tcMar>
              <w:top w:w="113" w:type="dxa"/>
              <w:left w:w="113" w:type="dxa"/>
              <w:bottom w:w="113" w:type="dxa"/>
              <w:right w:w="113" w:type="dxa"/>
            </w:tcMar>
            <w:vAlign w:val="center"/>
          </w:tcPr>
          <w:p w14:paraId="1A3630CE" w14:textId="77777777" w:rsidR="006D4900" w:rsidRPr="006D4900" w:rsidRDefault="006D4900" w:rsidP="006D4900">
            <w:pPr>
              <w:pStyle w:val="CDITable-RowCentre"/>
            </w:pPr>
            <w:r w:rsidRPr="006D4900">
              <w:t>15</w:t>
            </w:r>
          </w:p>
        </w:tc>
        <w:tc>
          <w:tcPr>
            <w:tcW w:w="1351" w:type="dxa"/>
            <w:tcBorders>
              <w:left w:val="single" w:sz="6" w:space="0" w:color="033636" w:themeColor="text2"/>
              <w:bottom w:val="single" w:sz="8" w:space="0" w:color="033636" w:themeColor="text2"/>
            </w:tcBorders>
            <w:tcMar>
              <w:top w:w="113" w:type="dxa"/>
              <w:left w:w="113" w:type="dxa"/>
              <w:bottom w:w="113" w:type="dxa"/>
              <w:right w:w="113" w:type="dxa"/>
            </w:tcMar>
            <w:vAlign w:val="center"/>
          </w:tcPr>
          <w:p w14:paraId="2BFB21DC" w14:textId="77777777" w:rsidR="006D4900" w:rsidRPr="006D4900" w:rsidRDefault="006D4900" w:rsidP="006D4900">
            <w:pPr>
              <w:pStyle w:val="CDITable-RowCentre"/>
            </w:pPr>
            <w:r w:rsidRPr="006D4900">
              <w:t>1/7</w:t>
            </w:r>
          </w:p>
        </w:tc>
        <w:tc>
          <w:tcPr>
            <w:tcW w:w="1351" w:type="dxa"/>
            <w:tcBorders>
              <w:bottom w:val="single" w:sz="8" w:space="0" w:color="033636" w:themeColor="text2"/>
            </w:tcBorders>
            <w:tcMar>
              <w:top w:w="113" w:type="dxa"/>
              <w:left w:w="113" w:type="dxa"/>
              <w:bottom w:w="113" w:type="dxa"/>
              <w:right w:w="113" w:type="dxa"/>
            </w:tcMar>
            <w:vAlign w:val="center"/>
          </w:tcPr>
          <w:p w14:paraId="5C4EB249" w14:textId="77777777" w:rsidR="006D4900" w:rsidRPr="006D4900" w:rsidRDefault="006D4900" w:rsidP="006D4900">
            <w:pPr>
              <w:pStyle w:val="CDITable-RowCentre"/>
            </w:pPr>
            <w:r w:rsidRPr="006D4900">
              <w:t>14</w:t>
            </w:r>
          </w:p>
        </w:tc>
      </w:tr>
    </w:tbl>
    <w:p w14:paraId="4D2FF3E9" w14:textId="77777777" w:rsidR="006D4900" w:rsidRDefault="006D4900" w:rsidP="006D4900">
      <w:pPr>
        <w:pStyle w:val="CDITable-Firstfootnote"/>
        <w:divId w:val="935526654"/>
      </w:pPr>
      <w:r>
        <w:t>a</w:t>
      </w:r>
      <w:r>
        <w:tab/>
        <w:t xml:space="preserve">Includes two blood specimens collected for ASOT that were not able to be tested by the laboratory (defined as a ‘no test’), along with two ‘no tests’ for Anti-DNAse B, and three ‘no tests’ for C3 complement blood specimens. </w:t>
      </w:r>
    </w:p>
    <w:p w14:paraId="43AD1274" w14:textId="77777777" w:rsidR="006D4900" w:rsidRDefault="006D4900" w:rsidP="006D4900">
      <w:pPr>
        <w:pStyle w:val="CDITable-Footnote"/>
        <w:divId w:val="935526654"/>
      </w:pPr>
      <w:r>
        <w:t>b</w:t>
      </w:r>
      <w:r>
        <w:tab/>
        <w:t>Values in ‘%’ columns for this row are interquartile ranges, not percentages.</w:t>
      </w:r>
    </w:p>
    <w:p w14:paraId="61A9B9B1" w14:textId="77777777" w:rsidR="006D4900" w:rsidRDefault="006D4900" w:rsidP="006D4900">
      <w:pPr>
        <w:pStyle w:val="CDITable-Footnote"/>
        <w:divId w:val="935526654"/>
      </w:pPr>
      <w:r>
        <w:t>c</w:t>
      </w:r>
      <w:r>
        <w:tab/>
        <w:t xml:space="preserve">Includes swabs collected from six cases who were not diagnosed with a sore throat. </w:t>
      </w:r>
    </w:p>
    <w:p w14:paraId="47459511" w14:textId="77777777" w:rsidR="006D4900" w:rsidRDefault="006D4900" w:rsidP="006D4900">
      <w:pPr>
        <w:pStyle w:val="CDITable-Footnote"/>
        <w:divId w:val="935526654"/>
      </w:pPr>
      <w:r>
        <w:t>d</w:t>
      </w:r>
      <w:r>
        <w:tab/>
        <w:t xml:space="preserve">Includes a swab collected from one case who was not diagnosed with impetigo or skin lesions. </w:t>
      </w:r>
    </w:p>
    <w:p w14:paraId="4F1DCC5C" w14:textId="77777777" w:rsidR="006D4900" w:rsidRDefault="006D4900" w:rsidP="006D4900">
      <w:pPr>
        <w:pStyle w:val="CDITable-Footnote"/>
        <w:divId w:val="935526654"/>
        <w:sectPr w:rsidR="006D4900" w:rsidSect="006D4900">
          <w:footnotePr>
            <w:numFmt w:val="lowerRoman"/>
          </w:footnotePr>
          <w:pgSz w:w="16840" w:h="11907" w:orient="landscape" w:code="9"/>
          <w:pgMar w:top="1134" w:right="1134" w:bottom="1134" w:left="1304" w:header="709" w:footer="567" w:gutter="0"/>
          <w:cols w:space="708"/>
          <w:docGrid w:linePitch="360"/>
          <w15:footnoteColumns w:val="1"/>
        </w:sectPr>
      </w:pPr>
      <w:r>
        <w:t>e</w:t>
      </w:r>
      <w:r>
        <w:tab/>
        <w:t>Scabies diagnosis data was collected from an audit of clinician’s documentation on Best Practice software.</w:t>
      </w:r>
    </w:p>
    <w:p w14:paraId="591BF71C" w14:textId="77777777" w:rsidR="00F42B7C" w:rsidRPr="00F42B7C" w:rsidRDefault="00F42B7C" w:rsidP="00400DB8">
      <w:pPr>
        <w:pStyle w:val="Normal-nospace"/>
        <w:divId w:val="935526654"/>
        <w:rPr>
          <w:lang w:val="en-GB"/>
        </w:rPr>
      </w:pPr>
      <w:r w:rsidRPr="00F42B7C">
        <w:rPr>
          <w:lang w:val="en-GB"/>
        </w:rPr>
        <w:lastRenderedPageBreak/>
        <w:t xml:space="preserve">The 63 confirmed and probable cases among First Nations children aged under 15 years represented an incidence within this demographic of 390 cases per 100,000 person years (95% CI: 294-486 per 100,000 person-years). Two outbreaks were declared during the three-year review period, with an </w:t>
      </w:r>
      <w:r w:rsidRPr="00F42B7C">
        <w:rPr>
          <w:i/>
          <w:iCs/>
          <w:lang w:val="en-GB"/>
        </w:rPr>
        <w:t>emm</w:t>
      </w:r>
      <w:r w:rsidRPr="00F42B7C">
        <w:rPr>
          <w:lang w:val="en-GB"/>
        </w:rPr>
        <w:t xml:space="preserve">55 outbreak of eight cases on Waiben (Thursday Island) declared in November 2023, and a smaller outbreak of unknown </w:t>
      </w:r>
      <w:r w:rsidRPr="00F42B7C">
        <w:rPr>
          <w:i/>
          <w:iCs/>
          <w:lang w:val="en-GB"/>
        </w:rPr>
        <w:t>emm</w:t>
      </w:r>
      <w:r w:rsidRPr="00F42B7C">
        <w:rPr>
          <w:lang w:val="en-GB"/>
        </w:rPr>
        <w:t xml:space="preserve"> type among three cases in New Mapoon during January 2024.</w:t>
      </w:r>
    </w:p>
    <w:p w14:paraId="7A032ED0" w14:textId="5DFDC9EB" w:rsidR="00400DB8" w:rsidRPr="00400DB8" w:rsidRDefault="00F42B7C" w:rsidP="00400DB8">
      <w:pPr>
        <w:divId w:val="935526654"/>
        <w:rPr>
          <w:lang w:val="en-GB"/>
        </w:rPr>
      </w:pPr>
      <w:r w:rsidRPr="00F42B7C">
        <w:rPr>
          <w:lang w:val="en-GB"/>
        </w:rPr>
        <w:t>Urine collection for microscopy, culture and sensitivity plus blood tests for streptococcal serology and complement testing were completed for 72/75 cases (96%). Incomplete collection was noted for one case before APSGN became notifiable, and for two cases afterwards. In total, 5/75 cases (6%) had incomplete investigation, as two further cases had tests unable to be completed on provided samples (‘no test’). The five cases were all determined probable cases, representing 19% of all probable cases. In terms of treatment, the majority had documented antibiotic treatment, with intramuscular benzathine penicillin in 59/75 cases (79%) and with oral antibiotics in 4/75 cases (5%). In one case, antibiotics were not given and the treatment status of 12 cases was not documented. Fifty-seven cases (57/75; 76%) were hospitalised and there were no deaths.</w:t>
      </w:r>
      <w:r w:rsidR="00400DB8">
        <w:rPr>
          <w:lang w:val="en-GB"/>
        </w:rPr>
        <w:t xml:space="preserve"> </w:t>
      </w:r>
      <w:r w:rsidR="00400DB8" w:rsidRPr="00400DB8">
        <w:rPr>
          <w:lang w:val="en-GB"/>
        </w:rPr>
        <w:t>Contact tracing was completed for the 68 confirmed and probable cases, with a median of five household contacts and a mean of 6.6 contacts for 43 cases with documented household contacts.</w:t>
      </w:r>
    </w:p>
    <w:p w14:paraId="6727CF1B" w14:textId="55718150" w:rsidR="00400DB8" w:rsidRPr="00400DB8" w:rsidRDefault="00400DB8" w:rsidP="00400DB8">
      <w:pPr>
        <w:divId w:val="935526654"/>
        <w:rPr>
          <w:lang w:val="en-GB"/>
        </w:rPr>
      </w:pPr>
      <w:r w:rsidRPr="00400DB8">
        <w:rPr>
          <w:lang w:val="en-GB"/>
        </w:rPr>
        <w:t>Skin and throat swabs were not consistently taken for microscopy, culture and sensitivity. A skin swab was taken from 28/48 cases (60%)</w:t>
      </w:r>
      <w:r w:rsidR="00964F54">
        <w:rPr>
          <w:lang w:val="en-GB"/>
        </w:rPr>
        <w:t xml:space="preserve"> </w:t>
      </w:r>
      <w:r w:rsidRPr="00400DB8">
        <w:rPr>
          <w:lang w:val="en-GB"/>
        </w:rPr>
        <w:t xml:space="preserve">with current or recent skin sores, with one swab taken in a case without documented clinical signs of impetigo. A throat swab was taken from 19/26 cases (73%) with a current or recent sore throat, noting that a further six cases also had throat swabs taken as part of their diagnostic workup. Strep A was cultured from 22/29 skin swabs (76%) and from 3/25 throat swabs (12%). Positive cultures were also not consistently </w:t>
      </w:r>
      <w:r w:rsidRPr="00400DB8">
        <w:rPr>
          <w:i/>
          <w:iCs/>
          <w:lang w:val="en-GB"/>
        </w:rPr>
        <w:t>emm</w:t>
      </w:r>
      <w:r w:rsidRPr="00400DB8">
        <w:rPr>
          <w:lang w:val="en-GB"/>
        </w:rPr>
        <w:t xml:space="preserve">-typed, with 9/25 Strep A isolates (36%) sent for typing. </w:t>
      </w:r>
      <w:r w:rsidRPr="00400DB8">
        <w:rPr>
          <w:i/>
          <w:iCs/>
          <w:lang w:val="en-GB"/>
        </w:rPr>
        <w:t>emm</w:t>
      </w:r>
      <w:r w:rsidRPr="00400DB8">
        <w:rPr>
          <w:lang w:val="en-GB"/>
        </w:rPr>
        <w:t xml:space="preserve">55 was identified from skin cultures of five cases, including four cases from the 2023 Waiben outbreak. </w:t>
      </w:r>
      <w:r w:rsidRPr="00400DB8">
        <w:rPr>
          <w:i/>
          <w:iCs/>
          <w:lang w:val="en-GB"/>
        </w:rPr>
        <w:t>emm</w:t>
      </w:r>
      <w:r w:rsidRPr="00400DB8">
        <w:rPr>
          <w:lang w:val="en-GB"/>
        </w:rPr>
        <w:t xml:space="preserve">81 was identified twice from skin swabs, </w:t>
      </w:r>
      <w:r w:rsidRPr="00400DB8">
        <w:rPr>
          <w:i/>
          <w:iCs/>
          <w:lang w:val="en-GB"/>
        </w:rPr>
        <w:t>emm</w:t>
      </w:r>
      <w:r w:rsidRPr="00400DB8">
        <w:rPr>
          <w:lang w:val="en-GB"/>
        </w:rPr>
        <w:t xml:space="preserve">53 was identified once from skin, and </w:t>
      </w:r>
      <w:r w:rsidRPr="00400DB8">
        <w:rPr>
          <w:i/>
          <w:iCs/>
          <w:lang w:val="en-GB"/>
        </w:rPr>
        <w:t>emm</w:t>
      </w:r>
      <w:r w:rsidRPr="00400DB8">
        <w:rPr>
          <w:lang w:val="en-GB"/>
        </w:rPr>
        <w:t xml:space="preserve">76 was identified once from a throat swab. </w:t>
      </w:r>
    </w:p>
    <w:p w14:paraId="6ABC3D65" w14:textId="77777777" w:rsidR="008A0736" w:rsidRDefault="008A0736" w:rsidP="00BA2598">
      <w:pPr>
        <w:pStyle w:val="Heading1"/>
        <w:divId w:val="935526654"/>
      </w:pPr>
      <w:r w:rsidRPr="00702D05">
        <w:t>Discussion</w:t>
      </w:r>
    </w:p>
    <w:p w14:paraId="757CC28F" w14:textId="77777777" w:rsidR="00400DB8" w:rsidRPr="00400DB8" w:rsidRDefault="00400DB8" w:rsidP="00400DB8">
      <w:pPr>
        <w:divId w:val="935526654"/>
        <w:rPr>
          <w:lang w:val="en-GB"/>
        </w:rPr>
      </w:pPr>
      <w:r w:rsidRPr="00400DB8">
        <w:rPr>
          <w:lang w:val="en-GB"/>
        </w:rPr>
        <w:t>The APSGN incidence of 88 cases per 100,000 person years in the Torres Strait and Cape York is eight times the Australian rate of 11 cases per 100,000 person-years.</w:t>
      </w:r>
      <w:r w:rsidRPr="00400DB8">
        <w:rPr>
          <w:vertAlign w:val="superscript"/>
          <w:lang w:val="en-GB"/>
        </w:rPr>
        <w:t>11</w:t>
      </w:r>
      <w:r w:rsidRPr="00400DB8">
        <w:rPr>
          <w:lang w:val="en-GB"/>
        </w:rPr>
        <w:t xml:space="preserve"> The crude incidence of 390 cases per 100,000 person-years in FNQ First Nations children is perhaps the highest documented incidence of APSGN globally and surpasses the estimated incidence of 229 cases per 100,000 person-years found in First Nations children admitted to hospital for APSGN in Central Australia in 2020.</w:t>
      </w:r>
      <w:r w:rsidRPr="00400DB8">
        <w:rPr>
          <w:vertAlign w:val="superscript"/>
          <w:lang w:val="en-GB"/>
        </w:rPr>
        <w:t>2,6</w:t>
      </w:r>
      <w:r w:rsidRPr="00400DB8">
        <w:rPr>
          <w:lang w:val="en-GB"/>
        </w:rPr>
        <w:t xml:space="preserve"> All documented cases in this three-year review involved First Nations children, highlighting the disproportionate impact of the disease. Our findings reflect similar trends reported by other Australian jurisdictions, especially those with remote First Nations communities.</w:t>
      </w:r>
      <w:r w:rsidRPr="00400DB8">
        <w:rPr>
          <w:vertAlign w:val="superscript"/>
          <w:lang w:val="en-GB"/>
        </w:rPr>
        <w:t>12,13</w:t>
      </w:r>
      <w:r w:rsidRPr="00400DB8">
        <w:rPr>
          <w:lang w:val="en-GB"/>
        </w:rPr>
        <w:t xml:space="preserve"> Notably, 28 of the 55 Queensland cases identified during 2024 (51%) were resident in the Torres Strait and Cape York region, despite this region having only 0.5% of the Queensland population.</w:t>
      </w:r>
      <w:r w:rsidRPr="00400DB8">
        <w:rPr>
          <w:vertAlign w:val="superscript"/>
          <w:lang w:val="en-GB"/>
        </w:rPr>
        <w:t>14</w:t>
      </w:r>
      <w:r w:rsidRPr="00400DB8">
        <w:rPr>
          <w:lang w:val="en-GB"/>
        </w:rPr>
        <w:t xml:space="preserve"> As APSGN is a risk factor for developing chronic kidney disease later in life, APSGN clearly remains a pressing public health issue in this region.</w:t>
      </w:r>
    </w:p>
    <w:p w14:paraId="4E40E6A7" w14:textId="77777777" w:rsidR="00400DB8" w:rsidRPr="00400DB8" w:rsidRDefault="00400DB8" w:rsidP="00400DB8">
      <w:pPr>
        <w:divId w:val="935526654"/>
        <w:rPr>
          <w:lang w:val="en-GB"/>
        </w:rPr>
      </w:pPr>
      <w:r w:rsidRPr="00400DB8">
        <w:rPr>
          <w:lang w:val="en-GB"/>
        </w:rPr>
        <w:t xml:space="preserve">Comparison of the confirmed to possible cases shows similar rates of haematuria at 86% (possible) versus 95% (confirmed), but much lower frequencies of oedema and hypertension among possible cases (respectively 14% and 29%) than among confirmed cases. Most children with APSGN continue to have microscopic haematuria for a year or more, long after the other classic nephritic features have resolved. In </w:t>
      </w:r>
      <w:r w:rsidRPr="00400DB8">
        <w:rPr>
          <w:lang w:val="en-GB"/>
        </w:rPr>
        <w:lastRenderedPageBreak/>
        <w:t>about 20% of patients, microscopic haematuria and proteinuria persist for up to five years post-acute illness.</w:t>
      </w:r>
      <w:r w:rsidRPr="00400DB8">
        <w:rPr>
          <w:vertAlign w:val="superscript"/>
          <w:lang w:val="en-GB"/>
        </w:rPr>
        <w:t>15</w:t>
      </w:r>
      <w:r w:rsidRPr="00400DB8">
        <w:rPr>
          <w:lang w:val="en-GB"/>
        </w:rPr>
        <w:t xml:space="preserve"> Given that APSGN is, in most cases, a clinically self-remitting disease, the ‘possible’ cases may represent APSGN further along the clinical course or those with a subclinical or mild clinical presentation. If this is the case, it may point to a need to further raise awareness in affected communities of the symptoms of APSGN to ensure affected patients present to clinics, and clinicians involved recognise the condition early. Classifying APSGN, therefore, can be a challenge; hence, keeping track of possible cases is an important component of APSGN surveillance. </w:t>
      </w:r>
    </w:p>
    <w:p w14:paraId="2ADD7481" w14:textId="77777777" w:rsidR="00400DB8" w:rsidRPr="00400DB8" w:rsidRDefault="00400DB8" w:rsidP="00400DB8">
      <w:pPr>
        <w:divId w:val="935526654"/>
        <w:rPr>
          <w:lang w:val="en-GB"/>
        </w:rPr>
      </w:pPr>
      <w:r w:rsidRPr="00400DB8">
        <w:rPr>
          <w:lang w:val="en-GB"/>
        </w:rPr>
        <w:t xml:space="preserve">The majority of all APSGN cases (96%) had the complete array of investigations requested, highlighting extensive clinician awareness of this disease in this region. There have also been public health efforts to ensure that, if APSGN is suspected, clinicians are easily able to find the appropriate investigations to order, with posters in all Queensland health facilities. However, five probable cases did not have all required laboratory tests performed, so were unable to be confirmed as APSGN cases. This may have been due to confidence of clinical staff in taking paediatric venous blood samples or to the long distances pathology are required to travel, which at times breach timeframes for pathology processing. </w:t>
      </w:r>
    </w:p>
    <w:p w14:paraId="0CCB388E" w14:textId="77777777" w:rsidR="00400DB8" w:rsidRPr="00400DB8" w:rsidRDefault="00400DB8" w:rsidP="00400DB8">
      <w:pPr>
        <w:divId w:val="935526654"/>
        <w:rPr>
          <w:lang w:val="en-GB"/>
        </w:rPr>
      </w:pPr>
      <w:r w:rsidRPr="00400DB8">
        <w:rPr>
          <w:lang w:val="en-GB"/>
        </w:rPr>
        <w:t xml:space="preserve">Taking skin and throat swabs for Strep A culture is an important part of investigating APSGN. Once the presence of Strep A is confirmed, isolates should be sent for </w:t>
      </w:r>
      <w:r w:rsidRPr="00400DB8">
        <w:rPr>
          <w:i/>
          <w:iCs/>
          <w:lang w:val="en-GB"/>
        </w:rPr>
        <w:t>emm</w:t>
      </w:r>
      <w:r w:rsidRPr="00400DB8">
        <w:rPr>
          <w:lang w:val="en-GB"/>
        </w:rPr>
        <w:t xml:space="preserve">-typing, particularly in the context of an outbreak. Sixty percent (60%) of cases with clinical signs of impetigo had samples collected for culture. </w:t>
      </w:r>
      <w:r w:rsidRPr="00400DB8">
        <w:rPr>
          <w:i/>
          <w:iCs/>
          <w:lang w:val="en-GB"/>
        </w:rPr>
        <w:t>Emm</w:t>
      </w:r>
      <w:r w:rsidRPr="00400DB8">
        <w:rPr>
          <w:lang w:val="en-GB"/>
        </w:rPr>
        <w:t xml:space="preserve">-typing to further understand nephrogenic and endemic strains of Strep A, or to direct Strep A vaccine research, is required to better identify its importance. Of the collected samples, nine were </w:t>
      </w:r>
      <w:r w:rsidRPr="00400DB8">
        <w:rPr>
          <w:i/>
          <w:iCs/>
          <w:lang w:val="en-GB"/>
        </w:rPr>
        <w:t>emm</w:t>
      </w:r>
      <w:r w:rsidRPr="00400DB8">
        <w:rPr>
          <w:lang w:val="en-GB"/>
        </w:rPr>
        <w:t xml:space="preserve">-typed notably with </w:t>
      </w:r>
      <w:r w:rsidRPr="00400DB8">
        <w:rPr>
          <w:i/>
          <w:iCs/>
          <w:lang w:val="en-GB"/>
        </w:rPr>
        <w:t>emm</w:t>
      </w:r>
      <w:r w:rsidRPr="00400DB8">
        <w:rPr>
          <w:lang w:val="en-GB"/>
        </w:rPr>
        <w:t>55 identified in four cases in the Waiben outbreak.</w:t>
      </w:r>
      <w:r w:rsidRPr="00400DB8">
        <w:rPr>
          <w:vertAlign w:val="superscript"/>
          <w:lang w:val="en-GB"/>
        </w:rPr>
        <w:t>3</w:t>
      </w:r>
      <w:r w:rsidRPr="00400DB8">
        <w:rPr>
          <w:lang w:val="en-GB"/>
        </w:rPr>
        <w:t xml:space="preserve"> Other strains identified included </w:t>
      </w:r>
      <w:r w:rsidRPr="00400DB8">
        <w:rPr>
          <w:i/>
          <w:iCs/>
          <w:lang w:val="en-GB"/>
        </w:rPr>
        <w:t>emm</w:t>
      </w:r>
      <w:r w:rsidRPr="00400DB8">
        <w:rPr>
          <w:lang w:val="en-GB"/>
        </w:rPr>
        <w:t xml:space="preserve">53, </w:t>
      </w:r>
      <w:r w:rsidRPr="00400DB8">
        <w:rPr>
          <w:i/>
          <w:iCs/>
          <w:lang w:val="en-GB"/>
        </w:rPr>
        <w:t>emm</w:t>
      </w:r>
      <w:r w:rsidRPr="00400DB8">
        <w:rPr>
          <w:lang w:val="en-GB"/>
        </w:rPr>
        <w:t xml:space="preserve">76, and </w:t>
      </w:r>
      <w:r w:rsidRPr="00400DB8">
        <w:rPr>
          <w:i/>
          <w:iCs/>
          <w:lang w:val="en-GB"/>
        </w:rPr>
        <w:t>emm</w:t>
      </w:r>
      <w:r w:rsidRPr="00400DB8">
        <w:rPr>
          <w:lang w:val="en-GB"/>
        </w:rPr>
        <w:t>81, with the former two not typically recognised as nephritogenic. The non-nephritogenic strains may point to concurrent incidental Strep A infection or colonisation or may even represent newly identified nephritogenic strains.</w:t>
      </w:r>
      <w:r w:rsidRPr="00400DB8">
        <w:rPr>
          <w:vertAlign w:val="superscript"/>
          <w:lang w:val="en-GB"/>
        </w:rPr>
        <w:t>3</w:t>
      </w:r>
      <w:r w:rsidRPr="00400DB8">
        <w:rPr>
          <w:lang w:val="en-GB"/>
        </w:rPr>
        <w:t xml:space="preserve"> Routine referral of Strep A isolates for </w:t>
      </w:r>
      <w:r w:rsidRPr="00400DB8">
        <w:rPr>
          <w:i/>
          <w:iCs/>
          <w:lang w:val="en-GB"/>
        </w:rPr>
        <w:t>emm</w:t>
      </w:r>
      <w:r w:rsidRPr="00400DB8">
        <w:rPr>
          <w:lang w:val="en-GB"/>
        </w:rPr>
        <w:t xml:space="preserve">-typing from suspected and confirmed APSGN cases would support prompt outbreak detection and would provide public health with ongoing intelligence of circulating strains. Public health could employ similar isolate referral mechanisms from diagnostic to public health laboratories as are currently in place for the routine </w:t>
      </w:r>
      <w:r w:rsidRPr="00400DB8">
        <w:rPr>
          <w:i/>
          <w:iCs/>
          <w:lang w:val="en-GB"/>
        </w:rPr>
        <w:t>emm</w:t>
      </w:r>
      <w:r w:rsidRPr="00400DB8">
        <w:rPr>
          <w:lang w:val="en-GB"/>
        </w:rPr>
        <w:t>-typing of invasive Strep A isolates in Queensland.</w:t>
      </w:r>
    </w:p>
    <w:p w14:paraId="6B456232" w14:textId="77777777" w:rsidR="00400DB8" w:rsidRPr="00400DB8" w:rsidRDefault="00400DB8" w:rsidP="00400DB8">
      <w:pPr>
        <w:divId w:val="935526654"/>
        <w:rPr>
          <w:lang w:val="en-GB"/>
        </w:rPr>
      </w:pPr>
      <w:r w:rsidRPr="00400DB8">
        <w:rPr>
          <w:lang w:val="en-GB"/>
        </w:rPr>
        <w:t>Strep A related diseases, including APSGN, are markers of childhood disadvantage. The primary precursor to APSGN, impetigo, is strongly tied to environmental factors such as overcrowding. In the Torres Strait and Cape York region, poor skin health and conditions such as impetigo and scabies are all too common.</w:t>
      </w:r>
      <w:r w:rsidRPr="00400DB8">
        <w:rPr>
          <w:vertAlign w:val="superscript"/>
          <w:lang w:val="en-GB"/>
        </w:rPr>
        <w:t>16</w:t>
      </w:r>
      <w:r w:rsidRPr="00400DB8">
        <w:rPr>
          <w:lang w:val="en-GB"/>
        </w:rPr>
        <w:t xml:space="preserve"> Our study showed that 12% of our confirmed cases had clinically diagnosed scabies, while 69% had signs of impetigo. These are both likely under-reported. Household overcrowding is a key contributing factor, particularly in the Torres Strait and Cape York region, with rates of household crowding more than double those seen in the broader Queensland population.</w:t>
      </w:r>
      <w:r w:rsidRPr="00400DB8">
        <w:rPr>
          <w:vertAlign w:val="superscript"/>
          <w:lang w:val="en-GB"/>
        </w:rPr>
        <w:t>17</w:t>
      </w:r>
      <w:r w:rsidRPr="00400DB8">
        <w:rPr>
          <w:lang w:val="en-GB"/>
        </w:rPr>
        <w:t xml:space="preserve"> Though overcrowding was not directly measured in this study, contact tracing of 68 cases revealed a median number of five household contacts and a mean of 6.6. This is much higher than the Australian population at large, with a mean household size of 2.5, or 1.5 household contacts according to the 2021 census.</w:t>
      </w:r>
      <w:r w:rsidRPr="00400DB8">
        <w:rPr>
          <w:vertAlign w:val="superscript"/>
          <w:lang w:val="en-GB"/>
        </w:rPr>
        <w:t>18</w:t>
      </w:r>
      <w:r w:rsidRPr="00400DB8">
        <w:rPr>
          <w:lang w:val="en-GB"/>
        </w:rPr>
        <w:t xml:space="preserve"> Tackling these key social determinants underpinning Strep A infection, such as housing, requires political will. Otherwise, there is unlikely to be substantial progress in tackling Strep A infection and APSGN even with the most sophisticated health services. </w:t>
      </w:r>
    </w:p>
    <w:p w14:paraId="5FD5045C" w14:textId="77777777" w:rsidR="00400DB8" w:rsidRPr="00400DB8" w:rsidRDefault="00400DB8" w:rsidP="00400DB8">
      <w:pPr>
        <w:divId w:val="935526654"/>
        <w:rPr>
          <w:lang w:val="en-GB"/>
        </w:rPr>
      </w:pPr>
      <w:r w:rsidRPr="00400DB8">
        <w:rPr>
          <w:lang w:val="en-GB"/>
        </w:rPr>
        <w:t>In addition to housing, there is community knowledge that seasonality is an environmental risk factor for precursor skin infections. Seasonal patterns in Strep A have been demonstrated in European temperate climates and Australian contexts such as in the Northern Territory.</w:t>
      </w:r>
      <w:r w:rsidRPr="00400DB8">
        <w:rPr>
          <w:vertAlign w:val="superscript"/>
          <w:lang w:val="en-GB"/>
        </w:rPr>
        <w:t>19,20</w:t>
      </w:r>
      <w:r w:rsidRPr="00400DB8">
        <w:rPr>
          <w:lang w:val="en-GB"/>
        </w:rPr>
        <w:t xml:space="preserve"> With three years of data, cases in the </w:t>
      </w:r>
      <w:r w:rsidRPr="00400DB8">
        <w:rPr>
          <w:lang w:val="en-GB"/>
        </w:rPr>
        <w:lastRenderedPageBreak/>
        <w:t>Torres Strait and Cape York appear to be more frequent in the late dry season of September and October. However, a greater period of surveillance is required to investigate these trends.</w:t>
      </w:r>
    </w:p>
    <w:p w14:paraId="0A15225B" w14:textId="292FD10E" w:rsidR="00400DB8" w:rsidRPr="00400DB8" w:rsidRDefault="00400DB8" w:rsidP="00400DB8">
      <w:pPr>
        <w:divId w:val="935526654"/>
        <w:rPr>
          <w:lang w:val="en-GB"/>
        </w:rPr>
      </w:pPr>
      <w:r w:rsidRPr="00400DB8">
        <w:rPr>
          <w:lang w:val="en-GB"/>
        </w:rPr>
        <w:t>This study has several limitations. The retrospective design, and the relatively short duration capturing only one year of mandatory notification, do not allow for statistical outcome comparisons. The low percentage of cases identified by the screening of household contacts, at 11%, indicates this study probably does not capture all subclinical cases. Subclinical cases have been reported to outnumber clinical cases by at least two to one in previous APSGN outbreaks in Cape York.</w:t>
      </w:r>
      <w:r w:rsidRPr="00400DB8">
        <w:rPr>
          <w:vertAlign w:val="superscript"/>
          <w:lang w:val="en-GB"/>
        </w:rPr>
        <w:t>8,21</w:t>
      </w:r>
      <w:r w:rsidRPr="00400DB8">
        <w:rPr>
          <w:lang w:val="en-GB"/>
        </w:rPr>
        <w:t xml:space="preserve"> Furthermore, while the APSGN email alert system identified most cases, it relied on visit reason terminology entered by clinicians, so may have missed some suspected cases if they were also not clinically notified. The majority of cases (89%) were identified by their clinical presentation as opposed to contact tracing (11%); thus APSGN cases with milder symptoms may not have presented to healthcare services and may not have been captured in our study. </w:t>
      </w:r>
    </w:p>
    <w:p w14:paraId="67D3A3DF" w14:textId="77777777" w:rsidR="00400DB8" w:rsidRPr="00400DB8" w:rsidRDefault="00400DB8" w:rsidP="00400DB8">
      <w:pPr>
        <w:divId w:val="935526654"/>
        <w:rPr>
          <w:lang w:val="en-GB"/>
        </w:rPr>
      </w:pPr>
      <w:r w:rsidRPr="00400DB8">
        <w:rPr>
          <w:lang w:val="en-GB"/>
        </w:rPr>
        <w:t>There has been some progress in the public health management of APSGN in the Torres Strait and Cape York with Queensland’s transition to mandatory notification and the publication of a state APSGN guideline.</w:t>
      </w:r>
      <w:r w:rsidRPr="00400DB8">
        <w:rPr>
          <w:vertAlign w:val="superscript"/>
          <w:lang w:val="en-GB"/>
        </w:rPr>
        <w:t>5</w:t>
      </w:r>
      <w:r w:rsidRPr="00400DB8">
        <w:rPr>
          <w:lang w:val="en-GB"/>
        </w:rPr>
        <w:t xml:space="preserve"> Yet despite this, APSGN incidence in First Nations children of the Torres Strait and Cape York region is among the highest documented incidence globally. This is an astonishing statistic to report in Australia in the twenty-first century and highlights the desperate need to address overcrowding and socioeconomic disadvantage in the region. In the words of Sir Michael G. Marmot: </w:t>
      </w:r>
      <w:r w:rsidRPr="00400DB8">
        <w:rPr>
          <w:i/>
          <w:iCs/>
          <w:lang w:val="en-GB"/>
        </w:rPr>
        <w:t>At the end of every scientific paper there is a familiar coda: more research is needed, more research is needed. What, I wondered, if we added a new coda: more action is needed</w:t>
      </w:r>
      <w:r w:rsidRPr="00400DB8">
        <w:rPr>
          <w:lang w:val="en-GB"/>
        </w:rPr>
        <w:t>.</w:t>
      </w:r>
      <w:r w:rsidRPr="00400DB8">
        <w:rPr>
          <w:vertAlign w:val="superscript"/>
          <w:lang w:val="en-GB"/>
        </w:rPr>
        <w:t>22</w:t>
      </w:r>
    </w:p>
    <w:p w14:paraId="51873754" w14:textId="77777777" w:rsidR="008A0736" w:rsidRPr="00702D05" w:rsidRDefault="008A0736" w:rsidP="008A0736">
      <w:pPr>
        <w:pStyle w:val="Heading1"/>
        <w:divId w:val="935526654"/>
        <w:rPr>
          <w:lang w:val="en-GB"/>
        </w:rPr>
      </w:pPr>
      <w:r>
        <w:rPr>
          <w:lang w:val="en-GB"/>
        </w:rPr>
        <w:t>Acknowledgments</w:t>
      </w:r>
    </w:p>
    <w:p w14:paraId="3DE5B447" w14:textId="55323174" w:rsidR="00400DB8" w:rsidRDefault="00400DB8" w:rsidP="00400DB8">
      <w:pPr>
        <w:rPr>
          <w:lang w:val="en-GB"/>
        </w:rPr>
      </w:pPr>
      <w:r w:rsidRPr="00400DB8">
        <w:rPr>
          <w:lang w:val="en-GB"/>
        </w:rPr>
        <w:t>We would like to thank the Torres and Cape Hospital and Health Service staff for their efforts in diagnosing, managing and preventing APSGN in the region.</w:t>
      </w:r>
      <w:r>
        <w:rPr>
          <w:lang w:val="en-GB"/>
        </w:rPr>
        <w:br w:type="page"/>
      </w:r>
    </w:p>
    <w:p w14:paraId="1D552A59" w14:textId="77777777" w:rsidR="008A0736" w:rsidRDefault="008A0736" w:rsidP="008A0736">
      <w:pPr>
        <w:pStyle w:val="Heading1"/>
        <w:divId w:val="935526654"/>
      </w:pPr>
      <w:r>
        <w:lastRenderedPageBreak/>
        <w:t>Author details</w:t>
      </w:r>
    </w:p>
    <w:p w14:paraId="7CE2312C" w14:textId="77777777" w:rsidR="00400DB8" w:rsidRPr="00400DB8" w:rsidRDefault="00400DB8" w:rsidP="00400DB8">
      <w:pPr>
        <w:divId w:val="935526654"/>
        <w:rPr>
          <w:lang w:val="en-GB"/>
        </w:rPr>
      </w:pPr>
      <w:r w:rsidRPr="00400DB8">
        <w:rPr>
          <w:lang w:val="en-GB"/>
        </w:rPr>
        <w:t>Eliza Cropp,</w:t>
      </w:r>
      <w:r w:rsidRPr="00400DB8">
        <w:rPr>
          <w:vertAlign w:val="superscript"/>
          <w:lang w:val="en-GB"/>
        </w:rPr>
        <w:t>1</w:t>
      </w:r>
    </w:p>
    <w:p w14:paraId="0C855D2C" w14:textId="77777777" w:rsidR="00400DB8" w:rsidRPr="00400DB8" w:rsidRDefault="00400DB8" w:rsidP="00400DB8">
      <w:pPr>
        <w:pStyle w:val="Normal-lessspace"/>
        <w:divId w:val="935526654"/>
      </w:pPr>
      <w:r w:rsidRPr="00400DB8">
        <w:t>Caroline Taunton,</w:t>
      </w:r>
      <w:r w:rsidRPr="00400DB8">
        <w:rPr>
          <w:vertAlign w:val="superscript"/>
        </w:rPr>
        <w:t>2</w:t>
      </w:r>
    </w:p>
    <w:p w14:paraId="735421F2" w14:textId="77777777" w:rsidR="00400DB8" w:rsidRPr="00400DB8" w:rsidRDefault="00400DB8" w:rsidP="00400DB8">
      <w:pPr>
        <w:pStyle w:val="Normal-lessspace"/>
        <w:divId w:val="935526654"/>
      </w:pPr>
      <w:r w:rsidRPr="00400DB8">
        <w:t>Malcolm McDonald,</w:t>
      </w:r>
      <w:r w:rsidRPr="00400DB8">
        <w:rPr>
          <w:vertAlign w:val="superscript"/>
        </w:rPr>
        <w:t>3</w:t>
      </w:r>
    </w:p>
    <w:p w14:paraId="7DA72D42" w14:textId="77777777" w:rsidR="00400DB8" w:rsidRPr="00400DB8" w:rsidRDefault="00400DB8" w:rsidP="00400DB8">
      <w:pPr>
        <w:pStyle w:val="Normal-lessspace"/>
        <w:divId w:val="935526654"/>
      </w:pPr>
      <w:r w:rsidRPr="00400DB8">
        <w:t>Nancy Lui-Gamia,</w:t>
      </w:r>
      <w:r w:rsidRPr="00400DB8">
        <w:rPr>
          <w:vertAlign w:val="superscript"/>
        </w:rPr>
        <w:t>4</w:t>
      </w:r>
    </w:p>
    <w:p w14:paraId="11802FFF" w14:textId="77777777" w:rsidR="00400DB8" w:rsidRPr="00400DB8" w:rsidRDefault="00400DB8" w:rsidP="00400DB8">
      <w:pPr>
        <w:pStyle w:val="Normal-lessspace"/>
        <w:divId w:val="935526654"/>
      </w:pPr>
      <w:r w:rsidRPr="00400DB8">
        <w:t>Debra Nona,</w:t>
      </w:r>
      <w:r w:rsidRPr="00400DB8">
        <w:rPr>
          <w:vertAlign w:val="superscript"/>
        </w:rPr>
        <w:t>5</w:t>
      </w:r>
    </w:p>
    <w:p w14:paraId="7DBDF637" w14:textId="77777777" w:rsidR="00400DB8" w:rsidRPr="00400DB8" w:rsidRDefault="00400DB8" w:rsidP="00400DB8">
      <w:pPr>
        <w:pStyle w:val="Normal-lessspace"/>
        <w:divId w:val="935526654"/>
      </w:pPr>
      <w:r w:rsidRPr="00400DB8">
        <w:t>Allison Hempenstall</w:t>
      </w:r>
      <w:r w:rsidRPr="00400DB8">
        <w:rPr>
          <w:vertAlign w:val="superscript"/>
        </w:rPr>
        <w:t>6</w:t>
      </w:r>
    </w:p>
    <w:p w14:paraId="7B9B9F1A" w14:textId="77777777" w:rsidR="00400DB8" w:rsidRPr="00400DB8" w:rsidRDefault="00400DB8" w:rsidP="00400DB8">
      <w:pPr>
        <w:pStyle w:val="CDINumberedList1-L1"/>
        <w:divId w:val="935526654"/>
      </w:pPr>
      <w:r w:rsidRPr="00400DB8">
        <w:t>Senior House Officer, Cairns and Hinterland Health Service, Cairns, Queensland</w:t>
      </w:r>
    </w:p>
    <w:p w14:paraId="1C33A3DB" w14:textId="77777777" w:rsidR="00400DB8" w:rsidRPr="00400DB8" w:rsidRDefault="00400DB8" w:rsidP="00400DB8">
      <w:pPr>
        <w:pStyle w:val="CDINumberedList1-L1"/>
        <w:divId w:val="935526654"/>
      </w:pPr>
      <w:r w:rsidRPr="00400DB8">
        <w:t xml:space="preserve">Epidemiologist, Torres and Cape Public Health Unit, 120 Bunda Street, Cairns, Queensland </w:t>
      </w:r>
    </w:p>
    <w:p w14:paraId="0421C255" w14:textId="77777777" w:rsidR="00400DB8" w:rsidRPr="00400DB8" w:rsidRDefault="00400DB8" w:rsidP="00400DB8">
      <w:pPr>
        <w:pStyle w:val="CDINumberedList1-L1"/>
        <w:divId w:val="935526654"/>
      </w:pPr>
      <w:r w:rsidRPr="00400DB8">
        <w:t xml:space="preserve">Adjunct Professor, Division of Tropical Health and Medicine, James Cook University, Nguma-bada Campus, Cairns, Queensland </w:t>
      </w:r>
    </w:p>
    <w:p w14:paraId="1E28EC15" w14:textId="77777777" w:rsidR="00400DB8" w:rsidRPr="00400DB8" w:rsidRDefault="00400DB8" w:rsidP="00400DB8">
      <w:pPr>
        <w:pStyle w:val="CDINumberedList1-L1"/>
        <w:divId w:val="935526654"/>
      </w:pPr>
      <w:r w:rsidRPr="00400DB8">
        <w:t>Indigenous Public Health Officer, Public Health Medical Officer, Torres and Cape Public Health Unit, 120 Bunda Street, Cairns, Queensland</w:t>
      </w:r>
    </w:p>
    <w:p w14:paraId="22F593C2" w14:textId="77777777" w:rsidR="00400DB8" w:rsidRPr="00400DB8" w:rsidRDefault="00400DB8" w:rsidP="00400DB8">
      <w:pPr>
        <w:pStyle w:val="CDINumberedList1-L1"/>
        <w:divId w:val="935526654"/>
      </w:pPr>
      <w:r w:rsidRPr="00400DB8">
        <w:t>Indigenous Public Health Officer, Public Health Medical Officer, Torres and Cape Public Health Unit, 120 Bunda Street, Cairns, Queensland</w:t>
      </w:r>
    </w:p>
    <w:p w14:paraId="423240CF" w14:textId="77777777" w:rsidR="00400DB8" w:rsidRPr="00400DB8" w:rsidRDefault="00400DB8" w:rsidP="00400DB8">
      <w:pPr>
        <w:pStyle w:val="CDINumberedList1-L1"/>
        <w:divId w:val="935526654"/>
      </w:pPr>
      <w:r w:rsidRPr="00400DB8">
        <w:t>Public Health Physician, Torres and Cape Public Health Unit, 120 Bunda Street, Cairns, Queensland</w:t>
      </w:r>
    </w:p>
    <w:p w14:paraId="125DAD44" w14:textId="77777777" w:rsidR="00AC7CD7" w:rsidRDefault="00AC7CD7" w:rsidP="00AC7CD7">
      <w:pPr>
        <w:pStyle w:val="Authordetails"/>
        <w:divId w:val="935526654"/>
      </w:pPr>
      <w:r>
        <w:t>Corresponding author</w:t>
      </w:r>
    </w:p>
    <w:p w14:paraId="1EDC4871" w14:textId="77777777" w:rsidR="00400DB8" w:rsidRPr="00400DB8" w:rsidRDefault="00400DB8" w:rsidP="00400DB8">
      <w:pPr>
        <w:divId w:val="935526654"/>
        <w:rPr>
          <w:lang w:val="en-GB"/>
        </w:rPr>
      </w:pPr>
      <w:r w:rsidRPr="00400DB8">
        <w:rPr>
          <w:lang w:val="en-GB"/>
        </w:rPr>
        <w:t>Allison Hempenstall</w:t>
      </w:r>
    </w:p>
    <w:p w14:paraId="03D3DBFD" w14:textId="77777777" w:rsidR="00400DB8" w:rsidRPr="00400DB8" w:rsidRDefault="00400DB8" w:rsidP="00400DB8">
      <w:pPr>
        <w:pStyle w:val="Normal-lessspace"/>
        <w:divId w:val="935526654"/>
      </w:pPr>
      <w:r w:rsidRPr="00400DB8">
        <w:t>Public Health Physician, Torres and Cape Public Health Unit, 120 Bunda Street, Cairns, Queensland</w:t>
      </w:r>
    </w:p>
    <w:p w14:paraId="71AB3C15" w14:textId="77777777" w:rsidR="00400DB8" w:rsidRPr="00400DB8" w:rsidRDefault="00400DB8" w:rsidP="00400DB8">
      <w:pPr>
        <w:pStyle w:val="Normal-lessspace"/>
        <w:divId w:val="935526654"/>
      </w:pPr>
      <w:r w:rsidRPr="00400DB8">
        <w:t>Phone: +61 438 755 738</w:t>
      </w:r>
    </w:p>
    <w:p w14:paraId="00FDCE51" w14:textId="62D7E9C4" w:rsidR="008A0736" w:rsidRPr="007A2D74" w:rsidRDefault="00400DB8" w:rsidP="00400DB8">
      <w:pPr>
        <w:pStyle w:val="Normal-lessspace"/>
        <w:divId w:val="935526654"/>
      </w:pPr>
      <w:r w:rsidRPr="00400DB8">
        <w:t xml:space="preserve">Email: </w:t>
      </w:r>
      <w:hyperlink r:id="rId16" w:history="1">
        <w:r w:rsidRPr="000D1D5F">
          <w:rPr>
            <w:rStyle w:val="Hyperlink"/>
          </w:rPr>
          <w:t xml:space="preserve">allison.hempenstall@health.qld.gov.au </w:t>
        </w:r>
      </w:hyperlink>
      <w:r w:rsidR="008A0736" w:rsidRPr="007A2D74">
        <w:br w:type="page"/>
      </w:r>
    </w:p>
    <w:p w14:paraId="23E0A590" w14:textId="77777777" w:rsidR="008A0736" w:rsidRDefault="008A0736" w:rsidP="00122ADA">
      <w:pPr>
        <w:pStyle w:val="Heading1"/>
        <w:divId w:val="935526654"/>
      </w:pPr>
      <w:r>
        <w:lastRenderedPageBreak/>
        <w:t>References</w:t>
      </w:r>
    </w:p>
    <w:p w14:paraId="44263FEA" w14:textId="77777777" w:rsidR="009623D6" w:rsidRPr="009623D6" w:rsidRDefault="009623D6" w:rsidP="009623D6">
      <w:pPr>
        <w:pStyle w:val="CDINumberedList1-L1"/>
        <w:numPr>
          <w:ilvl w:val="0"/>
          <w:numId w:val="34"/>
        </w:numPr>
        <w:divId w:val="935526654"/>
      </w:pPr>
      <w:r w:rsidRPr="009623D6">
        <w:t xml:space="preserve">Balasubramanian R, Marks SD. Post-infectious glomerulonephritis. </w:t>
      </w:r>
      <w:r w:rsidRPr="009623D6">
        <w:rPr>
          <w:i/>
          <w:iCs/>
        </w:rPr>
        <w:t>Paediatr Int Child Health</w:t>
      </w:r>
      <w:r w:rsidRPr="009623D6">
        <w:t xml:space="preserve">. 2017;37(4):240–7. doi: </w:t>
      </w:r>
      <w:hyperlink r:id="rId17" w:history="1">
        <w:r w:rsidRPr="009623D6">
          <w:rPr>
            <w:rStyle w:val="Hyperlink"/>
          </w:rPr>
          <w:t>https://doi.org/10.1080/20469047.2017.1369642</w:t>
        </w:r>
      </w:hyperlink>
      <w:r w:rsidRPr="009623D6">
        <w:t>.</w:t>
      </w:r>
    </w:p>
    <w:p w14:paraId="0A6EDF4F" w14:textId="77777777" w:rsidR="009623D6" w:rsidRPr="009623D6" w:rsidRDefault="009623D6" w:rsidP="009623D6">
      <w:pPr>
        <w:pStyle w:val="CDINumberedList1-L1"/>
        <w:divId w:val="935526654"/>
      </w:pPr>
      <w:r w:rsidRPr="009623D6">
        <w:t xml:space="preserve">Carapetis JR, Steer AC, Mulholland EK, Weber M. The global burden of group A streptococcal diseases. </w:t>
      </w:r>
      <w:r w:rsidRPr="009623D6">
        <w:rPr>
          <w:i/>
          <w:iCs/>
        </w:rPr>
        <w:t>Lancet Infect Dis</w:t>
      </w:r>
      <w:r w:rsidRPr="009623D6">
        <w:t xml:space="preserve">. 2005;5(11):685–94. doi: </w:t>
      </w:r>
      <w:hyperlink r:id="rId18" w:history="1">
        <w:r w:rsidRPr="009623D6">
          <w:rPr>
            <w:rStyle w:val="Hyperlink"/>
          </w:rPr>
          <w:t>https://doi.org/10.1016/S1473-3099(05)70267-X</w:t>
        </w:r>
      </w:hyperlink>
      <w:r w:rsidRPr="009623D6">
        <w:t>.</w:t>
      </w:r>
    </w:p>
    <w:p w14:paraId="5A79915F" w14:textId="77777777" w:rsidR="009623D6" w:rsidRPr="009623D6" w:rsidRDefault="009623D6" w:rsidP="009623D6">
      <w:pPr>
        <w:pStyle w:val="CDINumberedList1-L1"/>
        <w:divId w:val="935526654"/>
      </w:pPr>
      <w:r w:rsidRPr="009623D6">
        <w:t xml:space="preserve">Worthing KA, Lacey JA, Price DJ, McIntyre L, Steer AC, Tong SYC et al. Systematic review of group A streptococcal </w:t>
      </w:r>
      <w:r w:rsidRPr="009623D6">
        <w:rPr>
          <w:i/>
          <w:iCs/>
        </w:rPr>
        <w:t>emm</w:t>
      </w:r>
      <w:r w:rsidRPr="009623D6">
        <w:t xml:space="preserve"> types associated with acute post-streptococcal glomerulonephritis. </w:t>
      </w:r>
      <w:r w:rsidRPr="009623D6">
        <w:rPr>
          <w:i/>
          <w:iCs/>
        </w:rPr>
        <w:t>Am J Trop Med</w:t>
      </w:r>
      <w:r w:rsidRPr="009623D6">
        <w:t xml:space="preserve"> Hyg. 2019;100(5):1066–70. doi: </w:t>
      </w:r>
      <w:hyperlink r:id="rId19" w:history="1">
        <w:r w:rsidRPr="009623D6">
          <w:rPr>
            <w:rStyle w:val="Hyperlink"/>
          </w:rPr>
          <w:t>https://doi.org/10.4269/ajtmh.18-0827</w:t>
        </w:r>
      </w:hyperlink>
      <w:r w:rsidRPr="009623D6">
        <w:t>.</w:t>
      </w:r>
    </w:p>
    <w:p w14:paraId="04CAC1C8" w14:textId="77A424F6" w:rsidR="009623D6" w:rsidRPr="009623D6" w:rsidRDefault="009623D6" w:rsidP="009623D6">
      <w:pPr>
        <w:pStyle w:val="CDINumberedList1-L1"/>
        <w:divId w:val="935526654"/>
      </w:pPr>
      <w:r w:rsidRPr="009623D6">
        <w:t xml:space="preserve">Marshall CS, Cheng AC, Markey PG, Towers RJ, Richardson LJ, Fagan PK et al. Acute post-streptococcal glomerulonephritis in the Northern Territory of Australia: a review of 16 years data and comparison with the literature. </w:t>
      </w:r>
      <w:r w:rsidRPr="009623D6">
        <w:rPr>
          <w:i/>
          <w:iCs/>
        </w:rPr>
        <w:t>Am J Trop Med Hyg.</w:t>
      </w:r>
      <w:r w:rsidRPr="009623D6">
        <w:t xml:space="preserve"> 2011;85(4):703–10. doi:</w:t>
      </w:r>
      <w:r>
        <w:t> </w:t>
      </w:r>
      <w:hyperlink r:id="rId20" w:history="1">
        <w:r w:rsidRPr="009623D6">
          <w:rPr>
            <w:rStyle w:val="Hyperlink"/>
          </w:rPr>
          <w:t>https://doi.org/10.4269/ajtmh.2011.11-018</w:t>
        </w:r>
      </w:hyperlink>
      <w:r w:rsidRPr="009623D6">
        <w:t>.</w:t>
      </w:r>
    </w:p>
    <w:p w14:paraId="7178C815" w14:textId="77777777" w:rsidR="009623D6" w:rsidRPr="009623D6" w:rsidRDefault="009623D6" w:rsidP="009623D6">
      <w:pPr>
        <w:pStyle w:val="CDINumberedList1-L1"/>
        <w:divId w:val="935526654"/>
      </w:pPr>
      <w:r w:rsidRPr="009623D6">
        <w:t xml:space="preserve">Queensland State Government Department of Health (Queensland Health). Acute Post-Streptococcal Glomerulonephritis (APSGN). [Webpage.] Brisbane: Queensland Health; December 2023. Available from: </w:t>
      </w:r>
      <w:hyperlink r:id="rId21" w:history="1">
        <w:r w:rsidRPr="009623D6">
          <w:rPr>
            <w:rStyle w:val="Hyperlink"/>
          </w:rPr>
          <w:t>https://www.health.qld.gov.au/cdcg/index/acute-post-streptococcal-glomerulonephritis-apsgn</w:t>
        </w:r>
      </w:hyperlink>
      <w:r w:rsidRPr="009623D6">
        <w:t>.</w:t>
      </w:r>
    </w:p>
    <w:p w14:paraId="41A0B0D6" w14:textId="77777777" w:rsidR="009623D6" w:rsidRPr="009623D6" w:rsidRDefault="009623D6" w:rsidP="009623D6">
      <w:pPr>
        <w:pStyle w:val="CDINumberedList1-L1"/>
        <w:divId w:val="935526654"/>
      </w:pPr>
      <w:r w:rsidRPr="009623D6">
        <w:t xml:space="preserve">Dowler J, Wilson A. Acute post‐streptococcal glomerulonephritis in Central Australia. </w:t>
      </w:r>
      <w:r w:rsidRPr="009623D6">
        <w:rPr>
          <w:i/>
          <w:iCs/>
        </w:rPr>
        <w:t>Aust J Rural Health</w:t>
      </w:r>
      <w:r w:rsidRPr="009623D6">
        <w:t xml:space="preserve">. 2020;28(1):74–80. doi: </w:t>
      </w:r>
      <w:hyperlink r:id="rId22" w:history="1">
        <w:r w:rsidRPr="009623D6">
          <w:rPr>
            <w:rStyle w:val="Hyperlink"/>
          </w:rPr>
          <w:t>https://doi.org/10.1111/ajr.12568</w:t>
        </w:r>
      </w:hyperlink>
      <w:r w:rsidRPr="009623D6">
        <w:t>.</w:t>
      </w:r>
    </w:p>
    <w:p w14:paraId="4CACC819" w14:textId="77777777" w:rsidR="009623D6" w:rsidRPr="009623D6" w:rsidRDefault="009623D6" w:rsidP="009623D6">
      <w:pPr>
        <w:pStyle w:val="CDINumberedList1-L1"/>
        <w:divId w:val="935526654"/>
      </w:pPr>
      <w:r w:rsidRPr="009623D6">
        <w:t xml:space="preserve">Queensland State Government Register of Legislation (Queensland Legislation). </w:t>
      </w:r>
      <w:r w:rsidRPr="009623D6">
        <w:rPr>
          <w:i/>
          <w:iCs/>
        </w:rPr>
        <w:t>Public Health Regulation 2018</w:t>
      </w:r>
      <w:r w:rsidRPr="009623D6">
        <w:t xml:space="preserve">. [Legislation.] Brisbane: Office of the Queensland Parliamentary Counsel; 2018. Available from: </w:t>
      </w:r>
      <w:hyperlink r:id="rId23" w:history="1">
        <w:r w:rsidRPr="009623D6">
          <w:rPr>
            <w:rStyle w:val="Hyperlink"/>
          </w:rPr>
          <w:t>https://www.legislation.qld.gov.au/view/html/inforce/current/sl-2018-0117</w:t>
        </w:r>
      </w:hyperlink>
      <w:r w:rsidRPr="009623D6">
        <w:t>.</w:t>
      </w:r>
    </w:p>
    <w:p w14:paraId="1B85566E" w14:textId="5C7F8B6C" w:rsidR="009623D6" w:rsidRPr="009623D6" w:rsidRDefault="009623D6" w:rsidP="009623D6">
      <w:pPr>
        <w:pStyle w:val="CDINumberedList1-L1"/>
        <w:divId w:val="935526654"/>
      </w:pPr>
      <w:r w:rsidRPr="009623D6">
        <w:t xml:space="preserve">Streeton CL, Hanna JN, Messer RD, Merianos A. An epidemic of acute post-streptococcal glomerulonephritis among Aboriginal children. </w:t>
      </w:r>
      <w:r w:rsidRPr="009623D6">
        <w:rPr>
          <w:i/>
          <w:iCs/>
        </w:rPr>
        <w:t>J Paediatr Child Health</w:t>
      </w:r>
      <w:r w:rsidRPr="009623D6">
        <w:t>. 1995;31(3):245–8. doi:</w:t>
      </w:r>
      <w:r>
        <w:t> </w:t>
      </w:r>
      <w:hyperlink r:id="rId24" w:history="1">
        <w:r w:rsidRPr="009623D6">
          <w:rPr>
            <w:rStyle w:val="Hyperlink"/>
          </w:rPr>
          <w:t>https://doi.org/10.1111/j.1440-1754.1995.tb00795.x</w:t>
        </w:r>
      </w:hyperlink>
      <w:r w:rsidRPr="009623D6">
        <w:t>.</w:t>
      </w:r>
    </w:p>
    <w:p w14:paraId="65516A4A" w14:textId="1018068D" w:rsidR="009623D6" w:rsidRPr="009623D6" w:rsidRDefault="009623D6" w:rsidP="009623D6">
      <w:pPr>
        <w:pStyle w:val="CDINumberedList1-L1"/>
        <w:divId w:val="935526654"/>
      </w:pPr>
      <w:r w:rsidRPr="009623D6">
        <w:t xml:space="preserve">Queensland Health, Torres and Cape Hospital and Health Service (TCHHS). Torres and Cape Hospital and Health Service. [Website.] Cairns: TCHHS; 2024. Available from: </w:t>
      </w:r>
      <w:r>
        <w:br/>
      </w:r>
      <w:hyperlink r:id="rId25" w:history="1">
        <w:r w:rsidRPr="000D1D5F">
          <w:rPr>
            <w:rStyle w:val="Hyperlink"/>
          </w:rPr>
          <w:t>https://www.torres-cape.health.qld.gov.au/</w:t>
        </w:r>
      </w:hyperlink>
      <w:r w:rsidRPr="009623D6">
        <w:t>.</w:t>
      </w:r>
    </w:p>
    <w:p w14:paraId="7F6778CA" w14:textId="77777777" w:rsidR="009623D6" w:rsidRPr="009623D6" w:rsidRDefault="009623D6" w:rsidP="009623D6">
      <w:pPr>
        <w:pStyle w:val="CDINumberedList1-L1"/>
        <w:divId w:val="935526654"/>
      </w:pPr>
      <w:r w:rsidRPr="009623D6">
        <w:t xml:space="preserve">Queensland Health Statistical Services Branch. InfoBank - Demography. [Queensland Health intranet page.] Brisbane: Queensland Health; 22 March 2024. [Accessed on 5 March 2025.] Available from: </w:t>
      </w:r>
      <w:hyperlink r:id="rId26" w:anchor="estimated" w:history="1">
        <w:r w:rsidRPr="009623D6">
          <w:rPr>
            <w:rStyle w:val="Hyperlink"/>
          </w:rPr>
          <w:t>https://qheps.health.qld.gov.au/hsu/infobank/infobank-demography#estimated</w:t>
        </w:r>
      </w:hyperlink>
      <w:r w:rsidRPr="009623D6">
        <w:t>.</w:t>
      </w:r>
    </w:p>
    <w:p w14:paraId="3F91CA67" w14:textId="524CCAC9" w:rsidR="009623D6" w:rsidRPr="009623D6" w:rsidRDefault="009623D6" w:rsidP="009623D6">
      <w:pPr>
        <w:pStyle w:val="CDINumberedList1-L1"/>
        <w:divId w:val="935526654"/>
      </w:pPr>
      <w:r w:rsidRPr="009623D6">
        <w:t xml:space="preserve">Jackson SJ, Steer AC, Campbell H. Systematic review: estimation of global burden of non-suppurative sequelae of upper respiratory tract infection: rheumatic fever and post-streptococcal glomerulonephritis. </w:t>
      </w:r>
      <w:r w:rsidRPr="009623D6">
        <w:rPr>
          <w:i/>
          <w:iCs/>
        </w:rPr>
        <w:t>Trop Med Int Health</w:t>
      </w:r>
      <w:r w:rsidRPr="009623D6">
        <w:t xml:space="preserve">. 2011;16(1):2–11. </w:t>
      </w:r>
      <w:r>
        <w:br/>
      </w:r>
      <w:r w:rsidRPr="009623D6">
        <w:t xml:space="preserve">doi: </w:t>
      </w:r>
      <w:hyperlink r:id="rId27" w:history="1">
        <w:r w:rsidRPr="009623D6">
          <w:rPr>
            <w:rStyle w:val="Hyperlink"/>
          </w:rPr>
          <w:t>https://doi.org/10.1111/j.1365-3156.2010.02670.x</w:t>
        </w:r>
      </w:hyperlink>
      <w:r w:rsidRPr="009623D6">
        <w:t>.</w:t>
      </w:r>
    </w:p>
    <w:p w14:paraId="570EB658" w14:textId="77777777" w:rsidR="009623D6" w:rsidRPr="009623D6" w:rsidRDefault="009623D6" w:rsidP="009623D6">
      <w:pPr>
        <w:pStyle w:val="CDINumberedList1-L1"/>
        <w:divId w:val="935526654"/>
      </w:pPr>
      <w:r w:rsidRPr="009623D6">
        <w:t xml:space="preserve">Chaturvedi S, Boyd R, Krause V. Acute post-streptococcal glomerulonephritis in the Northern Territory of Australia: a review of data from 2009 to 2016 and comparison with the literature. </w:t>
      </w:r>
      <w:r w:rsidRPr="009623D6">
        <w:rPr>
          <w:i/>
          <w:iCs/>
        </w:rPr>
        <w:t>Am J Trop Med Hyg</w:t>
      </w:r>
      <w:r w:rsidRPr="009623D6">
        <w:t xml:space="preserve">. 2018;99(6):1643–8. doi: </w:t>
      </w:r>
      <w:hyperlink r:id="rId28" w:history="1">
        <w:r w:rsidRPr="009623D6">
          <w:rPr>
            <w:rStyle w:val="Hyperlink"/>
          </w:rPr>
          <w:t>https://doi.org/10.4269/ajtmh.18-0093</w:t>
        </w:r>
      </w:hyperlink>
      <w:r w:rsidRPr="009623D6">
        <w:t>.</w:t>
      </w:r>
    </w:p>
    <w:p w14:paraId="6A764182" w14:textId="77777777" w:rsidR="009623D6" w:rsidRPr="009623D6" w:rsidRDefault="009623D6" w:rsidP="009623D6">
      <w:pPr>
        <w:pStyle w:val="CDINumberedList1-L1"/>
        <w:divId w:val="935526654"/>
      </w:pPr>
      <w:r w:rsidRPr="009623D6">
        <w:lastRenderedPageBreak/>
        <w:t xml:space="preserve">Kimberley Aboriginal Health Planning Forum. </w:t>
      </w:r>
      <w:r w:rsidRPr="009623D6">
        <w:rPr>
          <w:i/>
          <w:iCs/>
        </w:rPr>
        <w:t>Acute post-streptococcal glomerulonephritis (APSGN): evidence used and rationale</w:t>
      </w:r>
      <w:r w:rsidRPr="009623D6">
        <w:t xml:space="preserve">. Broome: Kimberley Aboriginal Medical Services; 16 May 2024. Available from: </w:t>
      </w:r>
      <w:hyperlink r:id="rId29" w:history="1">
        <w:r w:rsidRPr="009623D6">
          <w:rPr>
            <w:rStyle w:val="Hyperlink"/>
          </w:rPr>
          <w:t>https://static1.squarespace.com/static/5b5fbd5b9772ae6ed988525c/t/6698827c8a0523110e5551c8/1721270909019/APSGN_Kimberley_Clinical_Guideline_KAHPF_Evidence_Used_and_Rationale_endorsed_12072024.pdf</w:t>
        </w:r>
      </w:hyperlink>
      <w:r w:rsidRPr="009623D6">
        <w:t>.</w:t>
      </w:r>
    </w:p>
    <w:p w14:paraId="55BBF583" w14:textId="77777777" w:rsidR="009623D6" w:rsidRPr="009623D6" w:rsidRDefault="009623D6" w:rsidP="009623D6">
      <w:pPr>
        <w:pStyle w:val="CDINumberedList1-L1"/>
        <w:divId w:val="935526654"/>
      </w:pPr>
      <w:r w:rsidRPr="009623D6">
        <w:t xml:space="preserve">Queensland Health. Notifiable conditions annual reporting. [Webpage.] Brisbane: Queensland Health; 2024. Available from: </w:t>
      </w:r>
      <w:hyperlink r:id="rId30" w:history="1">
        <w:r w:rsidRPr="009623D6">
          <w:rPr>
            <w:rStyle w:val="Hyperlink"/>
          </w:rPr>
          <w:t>https://www.health.qld.gov.au/clinical-practice/guidelines-procedures/diseases-infection/surveillance/reports/notifiable/annual</w:t>
        </w:r>
      </w:hyperlink>
      <w:r w:rsidRPr="009623D6">
        <w:t>.</w:t>
      </w:r>
    </w:p>
    <w:p w14:paraId="26C681E7" w14:textId="613FCD7F" w:rsidR="009623D6" w:rsidRPr="009623D6" w:rsidRDefault="009623D6" w:rsidP="009623D6">
      <w:pPr>
        <w:pStyle w:val="CDINumberedList1-L1"/>
        <w:divId w:val="935526654"/>
      </w:pPr>
      <w:r w:rsidRPr="009623D6">
        <w:t xml:space="preserve">Satoskar AA, Parikh SV, Nadasdy T. Epidemiology, pathogenesis, treatment and outcomes of infection-associated glomerulonephritis. </w:t>
      </w:r>
      <w:r w:rsidRPr="009623D6">
        <w:rPr>
          <w:i/>
          <w:iCs/>
        </w:rPr>
        <w:t>Nat Rev Nephrol</w:t>
      </w:r>
      <w:r w:rsidRPr="009623D6">
        <w:t>. 2020;16(1):32–50. doi:</w:t>
      </w:r>
      <w:r>
        <w:t> </w:t>
      </w:r>
      <w:hyperlink r:id="rId31" w:history="1">
        <w:r w:rsidRPr="009623D6">
          <w:rPr>
            <w:rStyle w:val="Hyperlink"/>
          </w:rPr>
          <w:t>https://doi.org/10.1038/s41581-019-0178-8</w:t>
        </w:r>
      </w:hyperlink>
      <w:r w:rsidRPr="009623D6">
        <w:t>.</w:t>
      </w:r>
    </w:p>
    <w:p w14:paraId="28723032" w14:textId="1B390800" w:rsidR="009623D6" w:rsidRPr="009623D6" w:rsidRDefault="009623D6" w:rsidP="009623D6">
      <w:pPr>
        <w:pStyle w:val="CDINumberedList1-L1"/>
        <w:divId w:val="935526654"/>
      </w:pPr>
      <w:r w:rsidRPr="009623D6">
        <w:t xml:space="preserve">Yeoh DK, Anderson A, Cleland G, Bowen AC. Are scabies and impetigo “normalised”? A cross-sectional comparative study of hospitalised children in northern Australia assessing clinical recognition and treatment of skin infections. </w:t>
      </w:r>
      <w:r w:rsidRPr="009623D6">
        <w:rPr>
          <w:i/>
          <w:iCs/>
        </w:rPr>
        <w:t>PLoS Negl Trop Dis</w:t>
      </w:r>
      <w:r w:rsidRPr="009623D6">
        <w:t>. 2017;11(7):e0005726. doi:</w:t>
      </w:r>
      <w:r>
        <w:t> </w:t>
      </w:r>
      <w:hyperlink r:id="rId32" w:history="1">
        <w:r w:rsidRPr="009623D6">
          <w:rPr>
            <w:rStyle w:val="Hyperlink"/>
          </w:rPr>
          <w:t>https://doi.org/10.1371/journal.pntd.0005726</w:t>
        </w:r>
      </w:hyperlink>
      <w:r w:rsidRPr="009623D6">
        <w:t>.</w:t>
      </w:r>
    </w:p>
    <w:p w14:paraId="3FAFA743" w14:textId="77777777" w:rsidR="009623D6" w:rsidRPr="009623D6" w:rsidRDefault="009623D6" w:rsidP="009623D6">
      <w:pPr>
        <w:pStyle w:val="CDINumberedList1-L1"/>
        <w:divId w:val="935526654"/>
      </w:pPr>
      <w:r w:rsidRPr="009623D6">
        <w:t xml:space="preserve">Queensland Health, TCHHS. Strategic Plan 2023–2027. [Webpage.] Cairns: TCHHS; June 2023. Available from: </w:t>
      </w:r>
      <w:hyperlink r:id="rId33" w:history="1">
        <w:r w:rsidRPr="009623D6">
          <w:rPr>
            <w:rStyle w:val="Hyperlink"/>
          </w:rPr>
          <w:t>https://www.torres-cape.health.qld.gov.au/about-us/corporate-publications-and-reporting/strategic-plan</w:t>
        </w:r>
      </w:hyperlink>
      <w:r w:rsidRPr="009623D6">
        <w:t>.</w:t>
      </w:r>
    </w:p>
    <w:p w14:paraId="50B0788D" w14:textId="77777777" w:rsidR="009623D6" w:rsidRPr="009623D6" w:rsidRDefault="009623D6" w:rsidP="009623D6">
      <w:pPr>
        <w:pStyle w:val="CDINumberedList1-L1"/>
        <w:divId w:val="935526654"/>
      </w:pPr>
      <w:r w:rsidRPr="009623D6">
        <w:t xml:space="preserve">Qu L, Baxter J, Gorniak M. Population, households and families. [Webpage.] Melbourne: Australian Government, Australian Institute of Family Studies; July 2023. Available from: </w:t>
      </w:r>
      <w:hyperlink r:id="rId34" w:history="1">
        <w:r w:rsidRPr="009623D6">
          <w:rPr>
            <w:rStyle w:val="Hyperlink"/>
          </w:rPr>
          <w:t>https://aifs.gov.au/research/facts-and-figures/population-households-and-families</w:t>
        </w:r>
      </w:hyperlink>
      <w:r w:rsidRPr="009623D6">
        <w:t>.</w:t>
      </w:r>
    </w:p>
    <w:p w14:paraId="1D0D9071" w14:textId="77777777" w:rsidR="009623D6" w:rsidRPr="009623D6" w:rsidRDefault="009623D6" w:rsidP="009623D6">
      <w:pPr>
        <w:pStyle w:val="CDINumberedList1-L1"/>
        <w:divId w:val="935526654"/>
      </w:pPr>
      <w:r w:rsidRPr="009623D6">
        <w:t xml:space="preserve">McDonald MI, Towers RJ, Andrews RM, Benger N, Currie BJ, Carapetis JR. Low rates of streptococcal pharyngitis and high rates of pyoderma in Australian Aboriginal communities where acute rheumatic fever Is hyperendemic. </w:t>
      </w:r>
      <w:r w:rsidRPr="009623D6">
        <w:rPr>
          <w:i/>
          <w:iCs/>
        </w:rPr>
        <w:t>Clin Infect Dis</w:t>
      </w:r>
      <w:r w:rsidRPr="009623D6">
        <w:t xml:space="preserve">. 2006;43(6):683–9. doi: </w:t>
      </w:r>
      <w:hyperlink r:id="rId35" w:history="1">
        <w:r w:rsidRPr="009623D6">
          <w:rPr>
            <w:rStyle w:val="Hyperlink"/>
          </w:rPr>
          <w:t>https://doi.org/10.1086/506938</w:t>
        </w:r>
      </w:hyperlink>
      <w:r w:rsidRPr="009623D6">
        <w:t>.</w:t>
      </w:r>
    </w:p>
    <w:p w14:paraId="2C6B0303" w14:textId="77777777" w:rsidR="009623D6" w:rsidRPr="009623D6" w:rsidRDefault="009623D6" w:rsidP="009623D6">
      <w:pPr>
        <w:pStyle w:val="CDINumberedList1-L1"/>
        <w:divId w:val="935526654"/>
      </w:pPr>
      <w:r w:rsidRPr="009623D6">
        <w:t xml:space="preserve">Lamagni TL, Darenberg J, Luca-Harari B, Siljander T, Efstratiou A, Henriques-Normark B et al. Epidemiology of severe Streptococcus pyogenes disease in Europe. </w:t>
      </w:r>
      <w:r w:rsidRPr="009623D6">
        <w:rPr>
          <w:i/>
          <w:iCs/>
        </w:rPr>
        <w:t>J Clin Microbiol</w:t>
      </w:r>
      <w:r w:rsidRPr="009623D6">
        <w:t xml:space="preserve">. 2008;46(7):2359–67. doi: </w:t>
      </w:r>
      <w:hyperlink r:id="rId36" w:history="1">
        <w:r w:rsidRPr="009623D6">
          <w:rPr>
            <w:rStyle w:val="Hyperlink"/>
          </w:rPr>
          <w:t>https://doi.org/10.1128/JCM.00422-08</w:t>
        </w:r>
      </w:hyperlink>
      <w:r w:rsidRPr="009623D6">
        <w:t>.</w:t>
      </w:r>
    </w:p>
    <w:p w14:paraId="205F5A44" w14:textId="77777777" w:rsidR="009623D6" w:rsidRPr="009623D6" w:rsidRDefault="009623D6" w:rsidP="009623D6">
      <w:pPr>
        <w:pStyle w:val="CDINumberedList1-L1"/>
        <w:divId w:val="935526654"/>
      </w:pPr>
      <w:r w:rsidRPr="009623D6">
        <w:t xml:space="preserve">Scrace M, Koko K. An outbreak of acute post-streptococcal glomerulonephritis in remote Far North Queensland. </w:t>
      </w:r>
      <w:r w:rsidRPr="009623D6">
        <w:rPr>
          <w:i/>
          <w:iCs/>
        </w:rPr>
        <w:t>Aust J Rural Health</w:t>
      </w:r>
      <w:r w:rsidRPr="009623D6">
        <w:t xml:space="preserve">. 2006;14(4):160–3. doi: </w:t>
      </w:r>
      <w:hyperlink r:id="rId37" w:history="1">
        <w:r w:rsidRPr="009623D6">
          <w:rPr>
            <w:rStyle w:val="Hyperlink"/>
          </w:rPr>
          <w:t>https://doi.org/10.1111/j.1440-1584.2006.00795.x</w:t>
        </w:r>
      </w:hyperlink>
      <w:r w:rsidRPr="009623D6">
        <w:t>.</w:t>
      </w:r>
    </w:p>
    <w:p w14:paraId="258C9C81" w14:textId="53408BB4" w:rsidR="00620509" w:rsidRPr="009623D6" w:rsidRDefault="009623D6" w:rsidP="00AE6101">
      <w:pPr>
        <w:pStyle w:val="CDINumberedList1-L1"/>
        <w:divId w:val="935526654"/>
      </w:pPr>
      <w:r w:rsidRPr="009623D6">
        <w:t xml:space="preserve">Marmot M. The Health Gap: The Challenge of an Unequal World: the argument. </w:t>
      </w:r>
      <w:r w:rsidRPr="009623D6">
        <w:rPr>
          <w:i/>
          <w:iCs/>
        </w:rPr>
        <w:t>Int J Epidemiol</w:t>
      </w:r>
      <w:r w:rsidRPr="009623D6">
        <w:t xml:space="preserve">. 2017;46(4):1312–8. doi: </w:t>
      </w:r>
      <w:hyperlink r:id="rId38" w:history="1">
        <w:r w:rsidRPr="009623D6">
          <w:rPr>
            <w:rStyle w:val="Hyperlink"/>
          </w:rPr>
          <w:t>https://doi.org/10.1093/ije/dyx163</w:t>
        </w:r>
      </w:hyperlink>
      <w:r w:rsidRPr="009623D6">
        <w:t>.</w:t>
      </w:r>
    </w:p>
    <w:p w14:paraId="1E5CC427" w14:textId="77777777" w:rsidR="001A26DD" w:rsidRDefault="001A26DD" w:rsidP="0037146D">
      <w:pPr>
        <w:divId w:val="935526654"/>
        <w:sectPr w:rsidR="001A26DD" w:rsidSect="006D4900">
          <w:footnotePr>
            <w:numFmt w:val="lowerRoman"/>
          </w:footnotePr>
          <w:pgSz w:w="11907" w:h="16840" w:code="9"/>
          <w:pgMar w:top="1134" w:right="1134" w:bottom="1304" w:left="1134" w:header="709" w:footer="567" w:gutter="0"/>
          <w:cols w:space="708"/>
          <w:docGrid w:linePitch="360"/>
          <w15:footnoteColumns w:val="1"/>
        </w:sectPr>
      </w:pPr>
    </w:p>
    <w:p w14:paraId="4135C887" w14:textId="6219E04D" w:rsidR="00CF6E16" w:rsidRDefault="00CF6E16" w:rsidP="00CF6E16">
      <w:pPr>
        <w:pStyle w:val="Heading1-nospacebefore"/>
      </w:pPr>
      <w:bookmarkStart w:id="0" w:name="_Hlk185172676"/>
      <w:r>
        <w:lastRenderedPageBreak/>
        <w:t>Appendix A</w:t>
      </w:r>
    </w:p>
    <w:p w14:paraId="7E30D7A4" w14:textId="6174AE69" w:rsidR="00CF6E16" w:rsidRDefault="00CF6E16" w:rsidP="00CF6E16">
      <w:pPr>
        <w:pStyle w:val="Heading2"/>
      </w:pPr>
      <w:r w:rsidRPr="00CF6E16">
        <w:t>APSGN case definition from the Queensland Health APSGN Guidelines for Public Health Units</w:t>
      </w:r>
      <w:r w:rsidRPr="00CF6E16">
        <w:rPr>
          <w:vertAlign w:val="superscript"/>
        </w:rPr>
        <w:t>5</w:t>
      </w:r>
    </w:p>
    <w:p w14:paraId="21172A04" w14:textId="77777777" w:rsidR="00CF6E16" w:rsidRDefault="00CF6E16" w:rsidP="00CF6E16">
      <w:pPr>
        <w:pStyle w:val="Heading3"/>
      </w:pPr>
      <w:r>
        <w:t>Case definitions</w:t>
      </w:r>
    </w:p>
    <w:p w14:paraId="10B3A76F" w14:textId="77777777" w:rsidR="00CF6E16" w:rsidRPr="00CF6E16" w:rsidRDefault="00CF6E16" w:rsidP="00CF6E16">
      <w:pPr>
        <w:rPr>
          <w:rStyle w:val="Bold"/>
        </w:rPr>
      </w:pPr>
      <w:r w:rsidRPr="00CF6E16">
        <w:rPr>
          <w:rStyle w:val="Bold"/>
        </w:rPr>
        <w:t>Confirmed</w:t>
      </w:r>
    </w:p>
    <w:p w14:paraId="572B07D8" w14:textId="77777777" w:rsidR="00CF6E16" w:rsidRDefault="00CF6E16" w:rsidP="00CF6E16">
      <w:pPr>
        <w:pStyle w:val="Normal-lessspace"/>
      </w:pPr>
      <w:r>
        <w:t>Laboratory definitive evidence</w:t>
      </w:r>
    </w:p>
    <w:p w14:paraId="28D8BDFD" w14:textId="77777777" w:rsidR="00CF6E16" w:rsidRDefault="00CF6E16" w:rsidP="00CF6E16">
      <w:pPr>
        <w:pStyle w:val="Normal-lessspace"/>
      </w:pPr>
      <w:r>
        <w:t>OR</w:t>
      </w:r>
    </w:p>
    <w:p w14:paraId="1DFD688E" w14:textId="77777777" w:rsidR="00CF6E16" w:rsidRDefault="00CF6E16" w:rsidP="00CF6E16">
      <w:pPr>
        <w:pStyle w:val="Normal-lessspace"/>
      </w:pPr>
      <w:r>
        <w:t>Laboratory suggestive evidence AND clinical evidence</w:t>
      </w:r>
    </w:p>
    <w:p w14:paraId="1DA0DAAB" w14:textId="77777777" w:rsidR="00CF6E16" w:rsidRPr="00CF6E16" w:rsidRDefault="00CF6E16" w:rsidP="00CF6E16">
      <w:pPr>
        <w:rPr>
          <w:rStyle w:val="Bold"/>
        </w:rPr>
      </w:pPr>
      <w:r w:rsidRPr="00CF6E16">
        <w:rPr>
          <w:rStyle w:val="Bold"/>
        </w:rPr>
        <w:t>Probable</w:t>
      </w:r>
    </w:p>
    <w:p w14:paraId="3EF185BF" w14:textId="77777777" w:rsidR="00CF6E16" w:rsidRDefault="00CF6E16" w:rsidP="00CF6E16">
      <w:pPr>
        <w:pStyle w:val="Normal-lessspace"/>
      </w:pPr>
      <w:r>
        <w:t>Clinical evidence only and APSGN is considered the most likely cause by a treating clinician</w:t>
      </w:r>
    </w:p>
    <w:p w14:paraId="52A4CFFF" w14:textId="77777777" w:rsidR="00CF6E16" w:rsidRPr="00CF6E16" w:rsidRDefault="00CF6E16" w:rsidP="00CF6E16">
      <w:pPr>
        <w:rPr>
          <w:rStyle w:val="Bold"/>
        </w:rPr>
      </w:pPr>
      <w:r w:rsidRPr="00CF6E16">
        <w:rPr>
          <w:rStyle w:val="Bold"/>
        </w:rPr>
        <w:t>Possible</w:t>
      </w:r>
    </w:p>
    <w:p w14:paraId="17CC3AC9" w14:textId="77777777" w:rsidR="00CF6E16" w:rsidRDefault="00CF6E16" w:rsidP="00CF6E16">
      <w:pPr>
        <w:pStyle w:val="Normal-lessspace"/>
      </w:pPr>
      <w:r>
        <w:t>Laboratory suggestive evidence only</w:t>
      </w:r>
    </w:p>
    <w:p w14:paraId="10F7FFFF" w14:textId="77777777" w:rsidR="00CF6E16" w:rsidRPr="00CF6E16" w:rsidRDefault="00CF6E16" w:rsidP="00CF6E16">
      <w:pPr>
        <w:rPr>
          <w:rStyle w:val="Bold"/>
        </w:rPr>
      </w:pPr>
      <w:r w:rsidRPr="00CF6E16">
        <w:rPr>
          <w:rStyle w:val="Bold"/>
        </w:rPr>
        <w:t>Laboratory definitive evidence</w:t>
      </w:r>
    </w:p>
    <w:p w14:paraId="15249E59" w14:textId="77777777" w:rsidR="00CF6E16" w:rsidRDefault="00CF6E16" w:rsidP="00CF6E16">
      <w:pPr>
        <w:pStyle w:val="Normal-lessspace"/>
      </w:pPr>
      <w:r>
        <w:t>Renal biopsy suggestive of APSGN</w:t>
      </w:r>
    </w:p>
    <w:p w14:paraId="38DB8576" w14:textId="77777777" w:rsidR="00CF6E16" w:rsidRPr="00CF6E16" w:rsidRDefault="00CF6E16" w:rsidP="00CF6E16">
      <w:pPr>
        <w:rPr>
          <w:rStyle w:val="Bold"/>
        </w:rPr>
      </w:pPr>
      <w:r w:rsidRPr="00CF6E16">
        <w:rPr>
          <w:rStyle w:val="Bold"/>
        </w:rPr>
        <w:t>Laboratory suggestive evidence</w:t>
      </w:r>
    </w:p>
    <w:p w14:paraId="589BE47F" w14:textId="77777777" w:rsidR="00CF6E16" w:rsidRDefault="00CF6E16" w:rsidP="00CF6E16">
      <w:pPr>
        <w:pStyle w:val="CDINumberedList1-L1"/>
        <w:numPr>
          <w:ilvl w:val="0"/>
          <w:numId w:val="37"/>
        </w:numPr>
        <w:spacing w:before="120"/>
      </w:pPr>
      <w:r>
        <w:t>Microscopic haematuria (RBC &gt; 10/ul)</w:t>
      </w:r>
    </w:p>
    <w:p w14:paraId="6F99B3CD" w14:textId="77777777" w:rsidR="00CF6E16" w:rsidRDefault="00CF6E16" w:rsidP="00CF6E16">
      <w:r>
        <w:t>AND</w:t>
      </w:r>
    </w:p>
    <w:p w14:paraId="7693AD3D" w14:textId="77777777" w:rsidR="00CF6E16" w:rsidRDefault="00CF6E16" w:rsidP="00CF6E16">
      <w:pPr>
        <w:pStyle w:val="CDINumberedList1-L1lessspace"/>
      </w:pPr>
      <w:r>
        <w:t>Evidence of recent streptococcal infection (Isolation or detection of GAS by culture, NAAT or rapid antigen detection test from skin or throat or elevated/rising ASO or Anti-DNase B titre, as defined by Steer et al, 2019</w:t>
      </w:r>
    </w:p>
    <w:p w14:paraId="1A6A0169" w14:textId="77777777" w:rsidR="00CF6E16" w:rsidRDefault="00CF6E16" w:rsidP="00CF6E16">
      <w:r>
        <w:t>AND</w:t>
      </w:r>
    </w:p>
    <w:p w14:paraId="6FC4E38C" w14:textId="77777777" w:rsidR="00CF6E16" w:rsidRDefault="00CF6E16" w:rsidP="00CF6E16">
      <w:pPr>
        <w:pStyle w:val="CDINumberedList1-L1lessspace"/>
      </w:pPr>
      <w:r>
        <w:t>Reduced C3 complement level (&lt; 0.7 g/L)</w:t>
      </w:r>
    </w:p>
    <w:p w14:paraId="6F5A59DB" w14:textId="77777777" w:rsidR="00CF6E16" w:rsidRPr="00CF6E16" w:rsidRDefault="00CF6E16" w:rsidP="00CF6E16">
      <w:pPr>
        <w:rPr>
          <w:rStyle w:val="Bold"/>
        </w:rPr>
      </w:pPr>
      <w:r w:rsidRPr="00CF6E16">
        <w:rPr>
          <w:rStyle w:val="Bold"/>
        </w:rPr>
        <w:t>Clinical evidence</w:t>
      </w:r>
    </w:p>
    <w:p w14:paraId="78362B41" w14:textId="77777777" w:rsidR="00CF6E16" w:rsidRDefault="00CF6E16" w:rsidP="00CF6E16">
      <w:pPr>
        <w:pStyle w:val="Normal-lessspace"/>
      </w:pPr>
      <w:r>
        <w:t>At least 2 of the following:</w:t>
      </w:r>
    </w:p>
    <w:p w14:paraId="512650D4" w14:textId="77777777" w:rsidR="00CF6E16" w:rsidRDefault="00CF6E16" w:rsidP="00CF6E16">
      <w:pPr>
        <w:pStyle w:val="CDIBullets-L1"/>
        <w:spacing w:before="120"/>
      </w:pPr>
      <w:r>
        <w:t>Facial and/or peripheral oedema</w:t>
      </w:r>
    </w:p>
    <w:p w14:paraId="45F7A45D" w14:textId="77777777" w:rsidR="00CF6E16" w:rsidRDefault="00CF6E16" w:rsidP="00CF6E16">
      <w:pPr>
        <w:pStyle w:val="CDIBullets-L1"/>
        <w:spacing w:before="120"/>
      </w:pPr>
      <w:r>
        <w:t>Macroscopic and/or moderate haematuria (≥ 2+ red blood cells on urine dipstick)</w:t>
      </w:r>
    </w:p>
    <w:p w14:paraId="1AF51427" w14:textId="5ABCE8DF" w:rsidR="00CF6E16" w:rsidRDefault="00CF6E16" w:rsidP="003C1A60">
      <w:pPr>
        <w:pStyle w:val="CDIBullets-L1"/>
        <w:spacing w:before="120"/>
      </w:pPr>
      <w:r>
        <w:t>Hypertension, according to age/sex/height percentiles from the American Academy of Paediatrics, 2017.</w:t>
      </w:r>
    </w:p>
    <w:p w14:paraId="4665368A" w14:textId="77777777" w:rsidR="00CF6E16" w:rsidRDefault="00CF6E16" w:rsidP="00CF6E16">
      <w:pPr>
        <w:sectPr w:rsidR="00CF6E16" w:rsidSect="00CF6E16">
          <w:footerReference w:type="default" r:id="rId39"/>
          <w:footnotePr>
            <w:numFmt w:val="lowerRoman"/>
          </w:footnotePr>
          <w:pgSz w:w="11907" w:h="16840" w:code="9"/>
          <w:pgMar w:top="1134" w:right="1134" w:bottom="1304" w:left="1134" w:header="709" w:footer="567" w:gutter="0"/>
          <w:cols w:space="708"/>
          <w:docGrid w:linePitch="360"/>
          <w15:footnoteColumns w:val="1"/>
        </w:sectPr>
      </w:pPr>
    </w:p>
    <w:p w14:paraId="67DDC3FD" w14:textId="14D16C55" w:rsidR="000705FF" w:rsidRPr="0089025E" w:rsidRDefault="000705FF" w:rsidP="00863F8D">
      <w:pPr>
        <w:pStyle w:val="CDICopyrighttext-lessspace"/>
      </w:pPr>
      <w:r w:rsidRPr="0089025E">
        <w:lastRenderedPageBreak/>
        <w:t xml:space="preserve">© </w:t>
      </w:r>
      <w:fldSimple w:instr=" DOCPROPERTY  Year  \* MERGEFORMAT ">
        <w:r w:rsidR="00DE4D86">
          <w:t>2025</w:t>
        </w:r>
      </w:fldSimple>
      <w:r w:rsidRPr="0089025E">
        <w:t xml:space="preserve"> Commonwealth of Australia as represented by the </w:t>
      </w:r>
      <w:r w:rsidR="00602AC1">
        <w:t>Department of Health and Aged Care</w:t>
      </w:r>
    </w:p>
    <w:p w14:paraId="41B4A71D" w14:textId="77777777" w:rsidR="00DE4482" w:rsidRPr="0089025E" w:rsidRDefault="00DE4482" w:rsidP="00C32715">
      <w:pPr>
        <w:pStyle w:val="CDICopyrighttext-lessspace"/>
      </w:pPr>
      <w:r w:rsidRPr="0089025E">
        <w:t>ISSN: 2209-6051 Online</w:t>
      </w:r>
    </w:p>
    <w:p w14:paraId="4A7BD415" w14:textId="77777777" w:rsidR="00DE4482" w:rsidRDefault="00DE4482" w:rsidP="00C32715">
      <w:pPr>
        <w:pStyle w:val="CDICopyrighttext-lessspace"/>
      </w:pPr>
      <w:r w:rsidRPr="0089025E">
        <w:t>This journal is indexed by Index Medicus and Medline.</w:t>
      </w:r>
    </w:p>
    <w:p w14:paraId="0B840D96" w14:textId="77777777" w:rsidR="006221DD" w:rsidRPr="0089025E" w:rsidRDefault="006221DD" w:rsidP="00C32715">
      <w:pPr>
        <w:pStyle w:val="CDICopyrightheading"/>
      </w:pPr>
      <w:r>
        <w:t>Creative Commons Licence</w:t>
      </w:r>
    </w:p>
    <w:p w14:paraId="6409F2CE"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40"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6CB4B554" w14:textId="77777777" w:rsidR="000705FF" w:rsidRPr="00194A12" w:rsidRDefault="000705FF" w:rsidP="00194A12">
      <w:pPr>
        <w:pStyle w:val="CDICopyrightheading"/>
      </w:pPr>
      <w:r w:rsidRPr="00194A12">
        <w:t>Restrictions</w:t>
      </w:r>
    </w:p>
    <w:p w14:paraId="6B9D5851"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0E51FE8F"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7A9F7369"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521B7D94" w14:textId="77777777" w:rsidR="000705FF" w:rsidRPr="0089025E" w:rsidRDefault="000705FF" w:rsidP="00AC0F5D">
      <w:pPr>
        <w:pStyle w:val="CDICopyrightbullets"/>
      </w:pPr>
      <w:r w:rsidRPr="0089025E">
        <w:t xml:space="preserve">any photographs and images; </w:t>
      </w:r>
    </w:p>
    <w:p w14:paraId="03AD691E" w14:textId="77777777" w:rsidR="000705FF" w:rsidRPr="0089025E" w:rsidRDefault="000705FF" w:rsidP="00AC0F5D">
      <w:pPr>
        <w:pStyle w:val="CDICopyrightbullets"/>
      </w:pPr>
      <w:r w:rsidRPr="0089025E">
        <w:t>any signatures; and</w:t>
      </w:r>
    </w:p>
    <w:p w14:paraId="2EA648EA" w14:textId="77777777" w:rsidR="000705FF" w:rsidRPr="0089025E" w:rsidRDefault="000705FF" w:rsidP="00AC0F5D">
      <w:pPr>
        <w:pStyle w:val="CDICopyrightbullets"/>
      </w:pPr>
      <w:r w:rsidRPr="0089025E">
        <w:t xml:space="preserve">any material belonging to third parties. </w:t>
      </w:r>
    </w:p>
    <w:p w14:paraId="3C480882" w14:textId="77777777" w:rsidR="000F223B" w:rsidRPr="0089025E" w:rsidRDefault="000705FF" w:rsidP="00194A12">
      <w:pPr>
        <w:pStyle w:val="CDICopyrightheading"/>
      </w:pPr>
      <w:r w:rsidRPr="0089025E">
        <w:t>Disclaimer</w:t>
      </w:r>
    </w:p>
    <w:p w14:paraId="327B325A"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3B477958" w14:textId="77777777" w:rsidR="000F223B" w:rsidRPr="0089025E" w:rsidRDefault="000705FF" w:rsidP="00194A12">
      <w:pPr>
        <w:pStyle w:val="CDICopyrightheading"/>
      </w:pPr>
      <w:r w:rsidRPr="0089025E">
        <w:t>Enquiries</w:t>
      </w:r>
    </w:p>
    <w:p w14:paraId="4006E5DB"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41" w:history="1">
        <w:r w:rsidR="00EE2F5A" w:rsidRPr="00400985">
          <w:rPr>
            <w:rStyle w:val="Hyperlink"/>
          </w:rPr>
          <w:t>cdi.editor@health.gov.au</w:t>
        </w:r>
      </w:hyperlink>
      <w:r w:rsidR="00863F8D" w:rsidRPr="00863F8D">
        <w:t>.</w:t>
      </w:r>
    </w:p>
    <w:p w14:paraId="63ACE7EF" w14:textId="77777777" w:rsidR="000F223B" w:rsidRPr="0089025E" w:rsidRDefault="000705FF" w:rsidP="00194A12">
      <w:pPr>
        <w:pStyle w:val="CDICopyrightheading"/>
      </w:pPr>
      <w:r w:rsidRPr="0089025E">
        <w:t>Communicable Diseases Network Australia</w:t>
      </w:r>
    </w:p>
    <w:p w14:paraId="7B4AB2CF" w14:textId="77777777" w:rsidR="00DA2E9E" w:rsidRDefault="000705FF" w:rsidP="00194A12">
      <w:pPr>
        <w:pStyle w:val="CDICopyrighttext"/>
      </w:pPr>
      <w:r w:rsidRPr="0089025E">
        <w:t xml:space="preserve">Communicable Diseases Intelligence contributes to the work of the </w:t>
      </w:r>
      <w:hyperlink r:id="rId42" w:history="1">
        <w:r w:rsidRPr="00C47C8C">
          <w:rPr>
            <w:rStyle w:val="Hyperlink"/>
          </w:rPr>
          <w:t>Communicable Diseases Network Australia</w:t>
        </w:r>
      </w:hyperlink>
      <w:r w:rsidRPr="0089025E">
        <w:t>.</w:t>
      </w:r>
      <w:r w:rsidR="0089025E" w:rsidRPr="0089025E">
        <w:t xml:space="preserve"> </w:t>
      </w:r>
    </w:p>
    <w:p w14:paraId="7BBA9A1E" w14:textId="77777777" w:rsidR="004B0C95" w:rsidRDefault="004B0C95" w:rsidP="004B0C95">
      <w:pPr>
        <w:pStyle w:val="Normal-nospace"/>
      </w:pPr>
    </w:p>
    <w:p w14:paraId="40B778E5"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59A5B6BE"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456070CA"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1FD3C017"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197CE981" w14:textId="77777777" w:rsidR="00A51E0E" w:rsidRPr="0089025E" w:rsidRDefault="00A51E0E" w:rsidP="00A51E0E">
      <w:pPr>
        <w:pStyle w:val="CDICopyrightheading"/>
      </w:pPr>
      <w:r w:rsidRPr="0089025E">
        <w:t>Submit an Article</w:t>
      </w:r>
    </w:p>
    <w:p w14:paraId="6816C7B6"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43" w:history="1">
        <w:r w:rsidRPr="004B0C95">
          <w:rPr>
            <w:rStyle w:val="Hyperlink"/>
          </w:rPr>
          <w:t>Information for authors</w:t>
        </w:r>
      </w:hyperlink>
      <w:r>
        <w:t xml:space="preserve"> and details on how to </w:t>
      </w:r>
      <w:hyperlink r:id="rId44" w:anchor="submission_package" w:history="1">
        <w:r w:rsidRPr="004B0C95">
          <w:rPr>
            <w:rStyle w:val="Hyperlink"/>
          </w:rPr>
          <w:t>submit your publication</w:t>
        </w:r>
      </w:hyperlink>
      <w:r>
        <w:t xml:space="preserve"> is available on our </w:t>
      </w:r>
      <w:r w:rsidRPr="004B0C95">
        <w:t>website</w:t>
      </w:r>
      <w:r>
        <w:t xml:space="preserve">, or by email at </w:t>
      </w:r>
      <w:hyperlink r:id="rId45" w:history="1">
        <w:r w:rsidR="00A51E0E" w:rsidRPr="000C6EB5">
          <w:rPr>
            <w:rStyle w:val="Hyperlink"/>
          </w:rPr>
          <w:t>cdi.editor@health.gov.au</w:t>
        </w:r>
      </w:hyperlink>
      <w:r w:rsidR="00863F8D">
        <w:t>.</w:t>
      </w:r>
    </w:p>
    <w:p w14:paraId="4CF886C1" w14:textId="77777777" w:rsidR="00DE4482" w:rsidRPr="0089025E" w:rsidRDefault="00A51E0E" w:rsidP="00194A12">
      <w:pPr>
        <w:pStyle w:val="CDICopyrightheading"/>
      </w:pPr>
      <w:r>
        <w:t>Contact us</w:t>
      </w:r>
    </w:p>
    <w:p w14:paraId="75567AB1" w14:textId="77777777" w:rsidR="00863F8D" w:rsidRDefault="00126546" w:rsidP="00863F8D">
      <w:pPr>
        <w:pStyle w:val="CDICopyrighttext-nospace"/>
      </w:pPr>
      <w:r>
        <w:t>Communicable Diseases Intelligence (CDI)</w:t>
      </w:r>
    </w:p>
    <w:p w14:paraId="11ADDDAD" w14:textId="77777777" w:rsidR="00863F8D" w:rsidRDefault="00470C19" w:rsidP="00863F8D">
      <w:pPr>
        <w:pStyle w:val="CDICopyrighttext-nospace"/>
      </w:pPr>
      <w:r>
        <w:t>Health Security &amp; Emergency Management Division</w:t>
      </w:r>
    </w:p>
    <w:p w14:paraId="561DF59C" w14:textId="77777777" w:rsidR="00863F8D" w:rsidRDefault="00602AC1" w:rsidP="00863F8D">
      <w:pPr>
        <w:pStyle w:val="CDICopyrighttext-nospace"/>
      </w:pPr>
      <w:r>
        <w:t>Department of Health and Aged Care</w:t>
      </w:r>
    </w:p>
    <w:p w14:paraId="5664519D" w14:textId="77777777" w:rsidR="000A5F42" w:rsidRPr="0089025E" w:rsidRDefault="00E54BBD" w:rsidP="00863F8D">
      <w:pPr>
        <w:pStyle w:val="CDICopyrighttext-lessspace"/>
      </w:pPr>
      <w:r w:rsidRPr="0089025E">
        <w:t>GPO Box 9848, CANBERRA ACT 2601</w:t>
      </w:r>
    </w:p>
    <w:p w14:paraId="619BDC1C" w14:textId="77777777" w:rsidR="00863F8D" w:rsidRDefault="00DA2E9E" w:rsidP="00863F8D">
      <w:pPr>
        <w:pStyle w:val="CDICopyrighttext-nospace"/>
      </w:pPr>
      <w:r w:rsidRPr="0089025E">
        <w:t xml:space="preserve">Website: </w:t>
      </w:r>
      <w:hyperlink r:id="rId46" w:history="1">
        <w:r w:rsidR="00AC0F5D" w:rsidRPr="000C6EB5">
          <w:rPr>
            <w:rStyle w:val="Hyperlink"/>
          </w:rPr>
          <w:t>www.health.gov.au/cdi</w:t>
        </w:r>
      </w:hyperlink>
    </w:p>
    <w:p w14:paraId="3358037A" w14:textId="77777777" w:rsidR="000A5F42" w:rsidRPr="0089025E" w:rsidRDefault="000A5F42" w:rsidP="00863F8D">
      <w:pPr>
        <w:pStyle w:val="CDICopyrighttext-lessspace"/>
      </w:pPr>
      <w:r w:rsidRPr="0089025E">
        <w:t xml:space="preserve">Email: </w:t>
      </w:r>
      <w:hyperlink r:id="rId47" w:history="1">
        <w:r w:rsidR="00AC0F5D" w:rsidRPr="000C6EB5">
          <w:rPr>
            <w:rStyle w:val="Hyperlink"/>
          </w:rPr>
          <w:t>cdi.editor@health.gov.au</w:t>
        </w:r>
      </w:hyperlink>
    </w:p>
    <w:sectPr w:rsidR="000A5F42" w:rsidRPr="0089025E" w:rsidSect="00690957">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09D75" w14:textId="77777777" w:rsidR="00DE4D86" w:rsidRDefault="00DE4D86" w:rsidP="00E54DBA">
      <w:r>
        <w:separator/>
      </w:r>
    </w:p>
    <w:p w14:paraId="3F154AC0" w14:textId="77777777" w:rsidR="00DE4D86" w:rsidRDefault="00DE4D86"/>
    <w:p w14:paraId="2EE178E6" w14:textId="77777777" w:rsidR="00DE4D86" w:rsidRDefault="00DE4D86" w:rsidP="008714B0"/>
  </w:endnote>
  <w:endnote w:type="continuationSeparator" w:id="0">
    <w:p w14:paraId="4C50CC1D" w14:textId="77777777" w:rsidR="00DE4D86" w:rsidRDefault="00DE4D86" w:rsidP="00E54DBA">
      <w:r>
        <w:continuationSeparator/>
      </w:r>
    </w:p>
    <w:p w14:paraId="52B36407" w14:textId="77777777" w:rsidR="00DE4D86" w:rsidRDefault="00DE4D86"/>
    <w:p w14:paraId="4711452C" w14:textId="77777777" w:rsidR="00DE4D86" w:rsidRDefault="00DE4D86"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C256"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1BBE" w14:textId="02497335"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DE4D86">
        <w:t>2025</w:t>
      </w:r>
    </w:fldSimple>
    <w:r w:rsidRPr="001D0612">
      <w:t xml:space="preserve"> </w:t>
    </w:r>
    <w:fldSimple w:instr=" DOCPROPERTY  Vol  \* MERGEFORMAT ">
      <w:r w:rsidR="00DE4D86">
        <w:t>49</w:t>
      </w:r>
    </w:fldSimple>
    <w:r w:rsidRPr="001D0612">
      <w:t xml:space="preserve">  (</w:t>
    </w:r>
    <w:fldSimple w:instr=" DOCPROPERTY  DOI  \* MERGEFORMAT ">
      <w:r w:rsidR="00F42B7C">
        <w:t>https://doi.org/10.33321/cdi.2025.49.031</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F42B7C">
        <w:t>19/05/2025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4B6C" w14:textId="77777777" w:rsidR="00CF52E4" w:rsidRDefault="00CF52E4" w:rsidP="00CF52E4">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7B186" w14:textId="6136E6E0"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DE4D86">
        <w:t>2025</w:t>
      </w:r>
    </w:fldSimple>
    <w:r w:rsidRPr="001D0612">
      <w:t xml:space="preserve"> </w:t>
    </w:r>
    <w:fldSimple w:instr=" DOCPROPERTY  Vol  \* MERGEFORMAT ">
      <w:r w:rsidR="00DE4D86">
        <w:t>49</w:t>
      </w:r>
    </w:fldSimple>
    <w:r w:rsidRPr="001D0612">
      <w:t xml:space="preserve">  (</w:t>
    </w:r>
    <w:fldSimple w:instr=" DOCPROPERTY  DOI  \* MERGEFORMAT ">
      <w:r w:rsidR="009623D6">
        <w:t>https://doi.org/10.33321/cdi.2025.49.031</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9623D6">
        <w:t>19/05/2025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C781" w14:textId="77777777" w:rsidR="00DE4D86" w:rsidRPr="00B91FB5" w:rsidRDefault="00DE4D86" w:rsidP="00DB485B">
      <w:pPr>
        <w:spacing w:after="60" w:line="240" w:lineRule="auto"/>
        <w:rPr>
          <w:sz w:val="18"/>
          <w:szCs w:val="18"/>
        </w:rPr>
      </w:pPr>
      <w:r w:rsidRPr="00B91FB5">
        <w:rPr>
          <w:sz w:val="18"/>
          <w:szCs w:val="18"/>
        </w:rPr>
        <w:separator/>
      </w:r>
    </w:p>
  </w:footnote>
  <w:footnote w:type="continuationSeparator" w:id="0">
    <w:p w14:paraId="2FEFB59B" w14:textId="77777777" w:rsidR="00DE4D86" w:rsidRDefault="00DE4D86" w:rsidP="00E54DBA">
      <w:r>
        <w:continuationSeparator/>
      </w:r>
    </w:p>
  </w:footnote>
  <w:footnote w:type="continuationNotice" w:id="1">
    <w:p w14:paraId="75E2882B" w14:textId="77777777" w:rsidR="00DE4D86" w:rsidRPr="00224EFF" w:rsidRDefault="00DE4D86"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F4E13"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6BB5"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D835"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542DF5D0" wp14:editId="023C188A">
          <wp:simplePos x="0" y="0"/>
          <wp:positionH relativeFrom="page">
            <wp:align>left</wp:align>
          </wp:positionH>
          <wp:positionV relativeFrom="page">
            <wp:align>top</wp:align>
          </wp:positionV>
          <wp:extent cx="7556400" cy="2268000"/>
          <wp:effectExtent l="0" t="0" r="6985" b="0"/>
          <wp:wrapNone/>
          <wp:docPr id="865248943" name="Picture 86524894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109979118">
    <w:abstractNumId w:val="5"/>
    <w:lvlOverride w:ilvl="0">
      <w:startOverride w:val="1"/>
    </w:lvlOverride>
  </w:num>
  <w:num w:numId="35" w16cid:durableId="1233925391">
    <w:abstractNumId w:val="5"/>
    <w:lvlOverride w:ilvl="0">
      <w:startOverride w:val="1"/>
    </w:lvlOverride>
  </w:num>
  <w:num w:numId="36" w16cid:durableId="1659118193">
    <w:abstractNumId w:val="5"/>
    <w:lvlOverride w:ilvl="0">
      <w:startOverride w:val="1"/>
    </w:lvlOverride>
  </w:num>
  <w:num w:numId="37" w16cid:durableId="55713007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86"/>
    <w:rsid w:val="00000B5B"/>
    <w:rsid w:val="00001611"/>
    <w:rsid w:val="00002B8D"/>
    <w:rsid w:val="00003DE5"/>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4539"/>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5B6B"/>
    <w:rsid w:val="000969B3"/>
    <w:rsid w:val="000A26CA"/>
    <w:rsid w:val="000A5F42"/>
    <w:rsid w:val="000C34E2"/>
    <w:rsid w:val="000C3D48"/>
    <w:rsid w:val="000C3FB4"/>
    <w:rsid w:val="000D4B4D"/>
    <w:rsid w:val="000D7FDD"/>
    <w:rsid w:val="000E1322"/>
    <w:rsid w:val="000E6C4C"/>
    <w:rsid w:val="000F223B"/>
    <w:rsid w:val="000F73D7"/>
    <w:rsid w:val="001020EE"/>
    <w:rsid w:val="00110B7D"/>
    <w:rsid w:val="00112E44"/>
    <w:rsid w:val="00113D58"/>
    <w:rsid w:val="001200CB"/>
    <w:rsid w:val="00122ADA"/>
    <w:rsid w:val="00126546"/>
    <w:rsid w:val="00135815"/>
    <w:rsid w:val="001371D9"/>
    <w:rsid w:val="001378A3"/>
    <w:rsid w:val="00146435"/>
    <w:rsid w:val="00153D94"/>
    <w:rsid w:val="00155582"/>
    <w:rsid w:val="00161590"/>
    <w:rsid w:val="00161C85"/>
    <w:rsid w:val="00163BE3"/>
    <w:rsid w:val="001648A8"/>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2EF9"/>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1BB4"/>
    <w:rsid w:val="00324B8F"/>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725B"/>
    <w:rsid w:val="00400DB8"/>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65413"/>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2AA"/>
    <w:rsid w:val="004C67C6"/>
    <w:rsid w:val="004D29DE"/>
    <w:rsid w:val="004E1094"/>
    <w:rsid w:val="004E2E81"/>
    <w:rsid w:val="0050662A"/>
    <w:rsid w:val="00510EAC"/>
    <w:rsid w:val="00526875"/>
    <w:rsid w:val="00532189"/>
    <w:rsid w:val="00542A57"/>
    <w:rsid w:val="00545068"/>
    <w:rsid w:val="0054635D"/>
    <w:rsid w:val="005635C8"/>
    <w:rsid w:val="00564CFB"/>
    <w:rsid w:val="00565974"/>
    <w:rsid w:val="00571302"/>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00"/>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0DAB"/>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3D6"/>
    <w:rsid w:val="00962C2F"/>
    <w:rsid w:val="00964753"/>
    <w:rsid w:val="00964F54"/>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1F3D"/>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52E4"/>
    <w:rsid w:val="00CF6E16"/>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B485B"/>
    <w:rsid w:val="00DC0C4C"/>
    <w:rsid w:val="00DC24E5"/>
    <w:rsid w:val="00DC3B05"/>
    <w:rsid w:val="00DC6705"/>
    <w:rsid w:val="00DD1EF6"/>
    <w:rsid w:val="00DD2DE8"/>
    <w:rsid w:val="00DE04B8"/>
    <w:rsid w:val="00DE2BFC"/>
    <w:rsid w:val="00DE38B4"/>
    <w:rsid w:val="00DE4482"/>
    <w:rsid w:val="00DE4D86"/>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2F5A"/>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2B7C"/>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 w:val="00FF4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70976"/>
  <w15:docId w15:val="{0C1F0F7F-4D36-49E4-BD8C-C46F275E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B8"/>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6D4900"/>
    <w:pPr>
      <w:spacing w:after="120"/>
    </w:pPr>
  </w:style>
  <w:style w:type="character" w:customStyle="1" w:styleId="BodyTextChar">
    <w:name w:val="Body Text Char"/>
    <w:basedOn w:val="DefaultParagraphFont"/>
    <w:link w:val="BodyText"/>
    <w:uiPriority w:val="99"/>
    <w:semiHidden/>
    <w:rsid w:val="006D4900"/>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016/S1473-3099(05)70267-X" TargetMode="External"/><Relationship Id="rId26" Type="http://schemas.openxmlformats.org/officeDocument/2006/relationships/hyperlink" Target="https://qheps.health.qld.gov.au/hsu/infobank/infobank-demography" TargetMode="External"/><Relationship Id="rId39"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www.health.qld.gov.au/cdcg/index/acute-post-streptococcal-glomerulonephritis-apsgn" TargetMode="External"/><Relationship Id="rId34" Type="http://schemas.openxmlformats.org/officeDocument/2006/relationships/hyperlink" Target="https://aifs.gov.au/research/facts-and-figures/population-households-and-families" TargetMode="External"/><Relationship Id="rId42" Type="http://schemas.openxmlformats.org/officeDocument/2006/relationships/hyperlink" Target="http://www.health.gov.au/cdna" TargetMode="External"/><Relationship Id="rId47" Type="http://schemas.openxmlformats.org/officeDocument/2006/relationships/hyperlink" Target="mailto:cdi.editor@health.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1080/20469047.2017.1369642" TargetMode="External"/><Relationship Id="rId25" Type="http://schemas.openxmlformats.org/officeDocument/2006/relationships/hyperlink" Target="https://www.torres-cape.health.qld.gov.au/" TargetMode="External"/><Relationship Id="rId33" Type="http://schemas.openxmlformats.org/officeDocument/2006/relationships/hyperlink" Target="https://www.torres-cape.health.qld.gov.au/about-us/corporate-publications-and-reporting/strategic-plan" TargetMode="External"/><Relationship Id="rId38" Type="http://schemas.openxmlformats.org/officeDocument/2006/relationships/hyperlink" Target="https://doi.org/10.1093/ije/dyx163" TargetMode="External"/><Relationship Id="rId46" Type="http://schemas.openxmlformats.org/officeDocument/2006/relationships/hyperlink" Target="http://www.health.gov.au/cdi" TargetMode="External"/><Relationship Id="rId2" Type="http://schemas.openxmlformats.org/officeDocument/2006/relationships/customXml" Target="../customXml/item2.xml"/><Relationship Id="rId16" Type="http://schemas.openxmlformats.org/officeDocument/2006/relationships/hyperlink" Target="mailto:allison.hempenstall@health.qld.gov.au%20" TargetMode="External"/><Relationship Id="rId20" Type="http://schemas.openxmlformats.org/officeDocument/2006/relationships/hyperlink" Target="https://doi.org/10.4269/ajtmh.2011.11-018" TargetMode="External"/><Relationship Id="rId29" Type="http://schemas.openxmlformats.org/officeDocument/2006/relationships/hyperlink" Target="https://static1.squarespace.com/static/5b5fbd5b9772ae6ed988525c/t/6698827c8a0523110e5551c8/1721270909019/APSGN_Kimberley_Clinical_Guideline_KAHPF_Evidence_Used_and_Rationale_endorsed_12072024.pdf" TargetMode="External"/><Relationship Id="rId41"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i.org/10.1111/j.1440-1754.1995.tb00795.x" TargetMode="External"/><Relationship Id="rId32" Type="http://schemas.openxmlformats.org/officeDocument/2006/relationships/hyperlink" Target="https://doi.org/10.1371/journal.pntd.0005726" TargetMode="External"/><Relationship Id="rId37" Type="http://schemas.openxmlformats.org/officeDocument/2006/relationships/hyperlink" Target="https://doi.org/10.1111/j.1440-1584.2006.00795.x" TargetMode="External"/><Relationship Id="rId40" Type="http://schemas.openxmlformats.org/officeDocument/2006/relationships/hyperlink" Target="https://creativecommons.org/licenses/by-nc-nd/4.0/legalcode" TargetMode="External"/><Relationship Id="rId45" Type="http://schemas.openxmlformats.org/officeDocument/2006/relationships/hyperlink" Target="mailto:cdi.editor@health.gov.a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legislation.qld.gov.au/view/html/inforce/current/sl-2018-0117" TargetMode="External"/><Relationship Id="rId28" Type="http://schemas.openxmlformats.org/officeDocument/2006/relationships/hyperlink" Target="https://doi.org/10.4269/ajtmh.18-0093" TargetMode="External"/><Relationship Id="rId36" Type="http://schemas.openxmlformats.org/officeDocument/2006/relationships/hyperlink" Target="https://doi.org/10.1128/JCM.00422-08"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4269/ajtmh.18-0827" TargetMode="External"/><Relationship Id="rId31" Type="http://schemas.openxmlformats.org/officeDocument/2006/relationships/hyperlink" Target="https://doi.org/10.1038/s41581-019-0178-8" TargetMode="External"/><Relationship Id="rId44" Type="http://schemas.openxmlformats.org/officeDocument/2006/relationships/hyperlink" Target="https://www1.health.gov.au/internet/main/publishing.nsf/Content/cda-pubs-cdi-auth_inst.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doi.org/10.1111/ajr.12568" TargetMode="External"/><Relationship Id="rId27" Type="http://schemas.openxmlformats.org/officeDocument/2006/relationships/hyperlink" Target="https://doi.org/10.1111/j.1365-3156.2010.02670.x" TargetMode="External"/><Relationship Id="rId30" Type="http://schemas.openxmlformats.org/officeDocument/2006/relationships/hyperlink" Target="https://www.health.qld.gov.au/clinical-practice/guidelines-procedures/diseases-infection/surveillance/reports/notifiable/annual" TargetMode="External"/><Relationship Id="rId35" Type="http://schemas.openxmlformats.org/officeDocument/2006/relationships/hyperlink" Target="https://doi.org/10.1086/506938" TargetMode="External"/><Relationship Id="rId43" Type="http://schemas.openxmlformats.org/officeDocument/2006/relationships/hyperlink" Target="https://www1.health.gov.au/internet/main/publishing.nsf/Content/cda-pubs-cdi-auth_inst.htm"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0</TotalTime>
  <Pages>14</Pages>
  <Words>4483</Words>
  <Characters>29298</Characters>
  <Application>Microsoft Office Word</Application>
  <DocSecurity>4</DocSecurity>
  <Lines>244</Lines>
  <Paragraphs>67</Paragraphs>
  <ScaleCrop>false</ScaleCrop>
  <HeadingPairs>
    <vt:vector size="2" baseType="variant">
      <vt:variant>
        <vt:lpstr>Title</vt:lpstr>
      </vt:variant>
      <vt:variant>
        <vt:i4>1</vt:i4>
      </vt:variant>
    </vt:vector>
  </HeadingPairs>
  <TitlesOfParts>
    <vt:vector size="1" baseType="lpstr">
      <vt:lpstr>Communicable Diseases Intelligence - Acute post-streptococcal glomerulonephritis (APSGN) in the Torres Strait and Cape York: surveillance insights pre- and post- mandatory notification</vt:lpstr>
    </vt:vector>
  </TitlesOfParts>
  <Company/>
  <LinksUpToDate>false</LinksUpToDate>
  <CharactersWithSpaces>33714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Acute post-streptococcal glomerulonephritis (APSGN) in the Torres Strait and Cape York: surveillance insights pre- and post- mandatory notification</dc:title>
  <dc:subject>This study describes the epidemiology of cases of acute post-streptococcal glomerulonephritis (APSGN) in the Torres Strait and Cape York Region from 2022 to 2024.  Cases were initially identified through electronic medical record alerts, and later through clinical notification when APSGN became notifiable in Queensland in October 2023.</dc:subject>
  <dc:creator>Eliza Cropp;Caroline Taunton;Malcolm McDonald;Nancy Lui-Gamia;Debra Nona;Allison Hempenstall</dc:creator>
  <cp:keywords>acute post-streptococcal glomerulonephritis; glomerulonephritis; Streptococcus pyogenes; Indigenous health; First Nations health; Aboriginal and Torres Strait Islander health; kidney disease</cp:keywords>
  <dc:description>© 2025 Commonwealth of Australia as represented by the Department of Health and Aged Care. This publication is licenced under a CC BY-NC-ND licence.</dc:description>
  <cp:lastModifiedBy>PETRIE, Simon</cp:lastModifiedBy>
  <cp:revision>2</cp:revision>
  <cp:lastPrinted>2024-03-07T01:06:00Z</cp:lastPrinted>
  <dcterms:created xsi:type="dcterms:W3CDTF">2025-05-11T23:46:00Z</dcterms:created>
  <dcterms:modified xsi:type="dcterms:W3CDTF">2025-05-11T23:46:00Z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19/05/2025</vt:lpwstr>
  </property>
  <property fmtid="{D5CDD505-2E9C-101B-9397-08002B2CF9AE}" pid="5" name="DOI">
    <vt:lpwstr>https://doi.org/10.33321/cdi.2025.49.031</vt:lpwstr>
  </property>
</Properties>
</file>