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ED717" w14:textId="7F7170E3" w:rsidR="00B50D8D" w:rsidRPr="00341720" w:rsidRDefault="00282B56" w:rsidP="00341720">
      <w:pPr>
        <w:pStyle w:val="CDIDOIinformation"/>
      </w:pPr>
      <w:fldSimple w:instr=" DOCPROPERTY  Year  \* MERGEFORMAT ">
        <w:r w:rsidR="00B2580D">
          <w:t>2025</w:t>
        </w:r>
      </w:fldSimple>
      <w:r w:rsidR="00A623E8" w:rsidRPr="00341720">
        <w:t xml:space="preserve"> • </w:t>
      </w:r>
      <w:r w:rsidR="00B50D8D" w:rsidRPr="00341720">
        <w:t xml:space="preserve">Volume </w:t>
      </w:r>
      <w:fldSimple w:instr=" DOCPROPERTY  Vol  \* MERGEFORMAT ">
        <w:r w:rsidR="00B2580D">
          <w:t>49</w:t>
        </w:r>
      </w:fldSimple>
      <w:r w:rsidR="00725C33" w:rsidRPr="00341720">
        <w:t xml:space="preserve"> </w:t>
      </w:r>
      <w:r w:rsidR="008E3F81" w:rsidRPr="00341720">
        <w:t>•</w:t>
      </w:r>
      <w:r w:rsidR="00725C33" w:rsidRPr="00341720">
        <w:t xml:space="preserve"> </w:t>
      </w:r>
      <w:fldSimple w:instr=" DOCPROPERTY  DOI  \* MERGEFORMAT ">
        <w:r w:rsidR="005B7DC3">
          <w:t>https://doi.org/10.33321/cdi.2025.49.040</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5B7DC3">
          <w:t>19/05/2025</w:t>
        </w:r>
      </w:fldSimple>
    </w:p>
    <w:p w14:paraId="76EE72E1" w14:textId="0C57AC4F" w:rsidR="006B16A5" w:rsidRPr="006B16A5" w:rsidRDefault="00402C37" w:rsidP="001020EE">
      <w:pPr>
        <w:pStyle w:val="Title"/>
        <w:divId w:val="935526654"/>
      </w:pPr>
      <w:r w:rsidRPr="00402C37">
        <w:t>The first year of respiratory syncytial virus (RSV) surveillance in Tasmania, 1 July 2022 – 30 June 2023</w:t>
      </w:r>
    </w:p>
    <w:p w14:paraId="34BA26A9" w14:textId="242B25B4" w:rsidR="007A33B9" w:rsidRPr="0037146D" w:rsidRDefault="00402C37" w:rsidP="00402C37">
      <w:pPr>
        <w:pStyle w:val="Subtitle"/>
        <w:tabs>
          <w:tab w:val="center" w:pos="4819"/>
        </w:tabs>
        <w:divId w:val="935526654"/>
      </w:pPr>
      <w:r w:rsidRPr="00402C37">
        <w:t>Michelle McPherson, Nicola Stephens, Bhavika Yadav, Shannon Melody</w:t>
      </w:r>
    </w:p>
    <w:p w14:paraId="646A0439" w14:textId="77777777" w:rsidR="0037146D" w:rsidRDefault="0037146D" w:rsidP="0037146D">
      <w:pPr>
        <w:pStyle w:val="Heading1"/>
        <w:divId w:val="935526654"/>
        <w:rPr>
          <w:lang w:val="en-GB"/>
        </w:rPr>
      </w:pPr>
      <w:r>
        <w:rPr>
          <w:lang w:val="en-GB"/>
        </w:rPr>
        <w:t>Abstract</w:t>
      </w:r>
    </w:p>
    <w:p w14:paraId="06BF9C1C" w14:textId="6846C7D1" w:rsidR="00065A6B" w:rsidRDefault="00402C37" w:rsidP="00402C37">
      <w:pPr>
        <w:pStyle w:val="Normal-morespace"/>
        <w:divId w:val="935526654"/>
        <w:rPr>
          <w:lang w:val="en-GB"/>
        </w:rPr>
      </w:pPr>
      <w:r w:rsidRPr="00402C37">
        <w:rPr>
          <w:lang w:val="en-GB"/>
        </w:rPr>
        <w:t>Respiratory syncytial virus (RSV) became notifiable in Tasmania on 1 July 2022. This study describes the epidemiology and data quality of all notifications of laboratory confirmed RSV that had a specimen collection date from 1 July 2022 to 30 June 2023 in Tasmania. Descriptive analysis was undertaken by age group, sex, month of notification and residential location; data quality was assessed through completeness of reporting. There were 4,491 notifications of RSV in Tasmania, equating to a notification rate of 779 per 100,000 population per year. The highest proportion of RSV notifications were in children, there was a seasonal increase during winter and higher notification rates in the North region. Data completeness was greater than 98% for most person, place and time variables. This analysis of RSV notifications provides a baseline for the ongoing surveillance of RSV in Tasmania.</w:t>
      </w:r>
    </w:p>
    <w:p w14:paraId="16B0F854" w14:textId="034AE113" w:rsidR="00620509" w:rsidRPr="006D508B" w:rsidRDefault="00620509" w:rsidP="00620509">
      <w:pPr>
        <w:pStyle w:val="CDIBoxtext-Green"/>
        <w:divId w:val="935526654"/>
        <w:rPr>
          <w:lang w:val="en-GB"/>
        </w:rPr>
      </w:pPr>
      <w:r w:rsidRPr="0037146D">
        <w:rPr>
          <w:lang w:val="en-GB"/>
        </w:rPr>
        <w:t xml:space="preserve">Keywords: </w:t>
      </w:r>
      <w:r w:rsidR="00402C37" w:rsidRPr="00402C37">
        <w:rPr>
          <w:lang w:val="en-GB"/>
        </w:rPr>
        <w:t>respiratory syncytial virus; RSV; surveillance; Tasmania</w:t>
      </w:r>
    </w:p>
    <w:p w14:paraId="0D3E1A6E" w14:textId="77777777" w:rsidR="008A0736" w:rsidRDefault="008A0736" w:rsidP="008A0736">
      <w:pPr>
        <w:pStyle w:val="Heading1"/>
        <w:divId w:val="935526654"/>
      </w:pPr>
      <w:r>
        <w:t>Introduction</w:t>
      </w:r>
    </w:p>
    <w:p w14:paraId="6CCE3E99" w14:textId="77777777" w:rsidR="00402C37" w:rsidRPr="00402C37" w:rsidRDefault="00402C37" w:rsidP="00402C37">
      <w:pPr>
        <w:divId w:val="935526654"/>
        <w:rPr>
          <w:lang w:val="en-GB"/>
        </w:rPr>
      </w:pPr>
      <w:r w:rsidRPr="00402C37">
        <w:rPr>
          <w:lang w:val="en-GB"/>
        </w:rPr>
        <w:t xml:space="preserve">Respiratory syncytial virus (RSV) became a nationally notifiable disease in Australia in 2021 and became notifiable in Tasmania from 1 July 2022 as per the </w:t>
      </w:r>
      <w:r w:rsidRPr="00402C37">
        <w:rPr>
          <w:i/>
          <w:iCs/>
          <w:lang w:val="en-GB"/>
        </w:rPr>
        <w:t>Public Health Act</w:t>
      </w:r>
      <w:r w:rsidRPr="00402C37">
        <w:rPr>
          <w:lang w:val="en-GB"/>
        </w:rPr>
        <w:t xml:space="preserve"> (1997).</w:t>
      </w:r>
      <w:r w:rsidRPr="00402C37">
        <w:rPr>
          <w:vertAlign w:val="superscript"/>
          <w:lang w:val="en-GB"/>
        </w:rPr>
        <w:t>1</w:t>
      </w:r>
      <w:r w:rsidRPr="00402C37">
        <w:rPr>
          <w:lang w:val="en-GB"/>
        </w:rPr>
        <w:t xml:space="preserve"> Notifications for RSV were added to the existing passive surveillance system in Tasmania, with reporting of laboratory confirmed cases only.</w:t>
      </w:r>
    </w:p>
    <w:p w14:paraId="3F445464" w14:textId="77777777" w:rsidR="00402C37" w:rsidRPr="00402C37" w:rsidRDefault="00402C37" w:rsidP="00402C37">
      <w:pPr>
        <w:divId w:val="935526654"/>
        <w:rPr>
          <w:lang w:val="en-GB"/>
        </w:rPr>
      </w:pPr>
      <w:r w:rsidRPr="00402C37">
        <w:rPr>
          <w:lang w:val="en-GB"/>
        </w:rPr>
        <w:t>RSV is a highly contagious and common virus that infects the airways and lungs, and re-infection is common. RSV generally affects young children and older adults, particularly those with underlying illnesses and a suppressed immune system.</w:t>
      </w:r>
      <w:r w:rsidRPr="00402C37">
        <w:rPr>
          <w:vertAlign w:val="superscript"/>
          <w:lang w:val="en-GB"/>
        </w:rPr>
        <w:t>2</w:t>
      </w:r>
      <w:r w:rsidRPr="00402C37">
        <w:rPr>
          <w:lang w:val="en-GB"/>
        </w:rPr>
        <w:t xml:space="preserve"> RSV usually presents with mild to moderate symptoms; however, it can </w:t>
      </w:r>
      <w:r w:rsidRPr="00402C37">
        <w:rPr>
          <w:lang w:val="en-GB"/>
        </w:rPr>
        <w:lastRenderedPageBreak/>
        <w:t>cause serious complications and even death in some cases, especially for those at the extremes of age, the very young and elderly.</w:t>
      </w:r>
      <w:r w:rsidRPr="00402C37">
        <w:rPr>
          <w:vertAlign w:val="superscript"/>
          <w:lang w:val="en-GB"/>
        </w:rPr>
        <w:t>3</w:t>
      </w:r>
      <w:r w:rsidRPr="00402C37">
        <w:rPr>
          <w:lang w:val="en-GB"/>
        </w:rPr>
        <w:t xml:space="preserve"> </w:t>
      </w:r>
    </w:p>
    <w:p w14:paraId="3B664DE1" w14:textId="77777777" w:rsidR="00402C37" w:rsidRPr="00402C37" w:rsidRDefault="00402C37" w:rsidP="00402C37">
      <w:pPr>
        <w:divId w:val="935526654"/>
        <w:rPr>
          <w:lang w:val="en-GB"/>
        </w:rPr>
      </w:pPr>
      <w:r w:rsidRPr="00402C37">
        <w:rPr>
          <w:lang w:val="en-GB"/>
        </w:rPr>
        <w:t>The RSV immunisation landscape is rapidly evolving, with vaccines and monoclonal antibody treatments available for infant and older adult protection.</w:t>
      </w:r>
      <w:r w:rsidRPr="00402C37">
        <w:rPr>
          <w:vertAlign w:val="superscript"/>
          <w:lang w:val="en-GB"/>
        </w:rPr>
        <w:t>4</w:t>
      </w:r>
      <w:r w:rsidRPr="00402C37">
        <w:rPr>
          <w:lang w:val="en-GB"/>
        </w:rPr>
        <w:t xml:space="preserve"> At the time of this analysis, vaccination against RSV was not funded under the National Immunisation Program; however, in 2024, some states offered either high-risk or universal infant immunisation programs against RSV.</w:t>
      </w:r>
      <w:r w:rsidRPr="00402C37">
        <w:rPr>
          <w:vertAlign w:val="superscript"/>
          <w:lang w:val="en-GB"/>
        </w:rPr>
        <w:t>5</w:t>
      </w:r>
      <w:r w:rsidRPr="00402C37">
        <w:rPr>
          <w:lang w:val="en-GB"/>
        </w:rPr>
        <w:t xml:space="preserve"> In 2025, a comprehensive national maternal and infant immunisation program is underway. </w:t>
      </w:r>
    </w:p>
    <w:p w14:paraId="5EC68A80" w14:textId="77777777" w:rsidR="00402C37" w:rsidRPr="00402C37" w:rsidRDefault="00402C37" w:rsidP="00402C37">
      <w:pPr>
        <w:divId w:val="935526654"/>
        <w:rPr>
          <w:lang w:val="en-GB"/>
        </w:rPr>
      </w:pPr>
      <w:r w:rsidRPr="00402C37">
        <w:rPr>
          <w:lang w:val="en-GB"/>
        </w:rPr>
        <w:t>Due to the scarcity of publications exploring RSV epidemiology in Tasmania,</w:t>
      </w:r>
      <w:r w:rsidRPr="00402C37">
        <w:rPr>
          <w:vertAlign w:val="superscript"/>
          <w:lang w:val="en-GB"/>
        </w:rPr>
        <w:t>6</w:t>
      </w:r>
      <w:r w:rsidRPr="00402C37">
        <w:rPr>
          <w:lang w:val="en-GB"/>
        </w:rPr>
        <w:t xml:space="preserve"> and to provide baseline data for the ongoing surveillance, evaluation, and monitoring of RSV and its associated preventative therapies, this study describes the epidemiology and data quality of RSV notifications in Tasmania in the first year since it became a notifiable disease.</w:t>
      </w:r>
    </w:p>
    <w:p w14:paraId="711E7AE8" w14:textId="77777777" w:rsidR="008A0736" w:rsidRDefault="008A0736" w:rsidP="008A0736">
      <w:pPr>
        <w:pStyle w:val="Heading1"/>
        <w:divId w:val="935526654"/>
        <w:rPr>
          <w:lang w:val="en-GB"/>
        </w:rPr>
      </w:pPr>
      <w:r>
        <w:rPr>
          <w:lang w:val="en-GB"/>
        </w:rPr>
        <w:t>Methods</w:t>
      </w:r>
    </w:p>
    <w:p w14:paraId="4A01F6F7" w14:textId="77777777" w:rsidR="00402C37" w:rsidRPr="00402C37" w:rsidRDefault="00402C37" w:rsidP="00402C37">
      <w:pPr>
        <w:divId w:val="935526654"/>
        <w:rPr>
          <w:lang w:val="en-GB"/>
        </w:rPr>
      </w:pPr>
      <w:r w:rsidRPr="00402C37">
        <w:rPr>
          <w:lang w:val="en-GB"/>
        </w:rPr>
        <w:t>All notifications of laboratory confirmed RSV that met the national surveillance case definition,</w:t>
      </w:r>
      <w:r w:rsidRPr="00402C37">
        <w:rPr>
          <w:vertAlign w:val="superscript"/>
          <w:lang w:val="en-GB"/>
        </w:rPr>
        <w:t>7</w:t>
      </w:r>
      <w:r w:rsidRPr="00402C37">
        <w:rPr>
          <w:lang w:val="en-GB"/>
        </w:rPr>
        <w:t xml:space="preserve"> had a specimen collection date from 1 July 2022 to 30 June 2023 and resided in Tasmania, were included in the study. Notifications are received from laboratories and therefore only include data from the request form completed by the treating doctor. As such, a descriptive analysis was undertaken by age group, sex, month of notification and residential location. Rates per 100,000 population per year were calculated using the estimated resident population from the Australian Bureau of Statistics, 2023. Notification rates by Socio-Economic Indexes for Areas (SEIFA) were calculated using the Index of Relative Socio-Economic Advantage and Disadvantage (IRSAD) based on residential postcode and using the deciles for within Tasmania. Data quality was evaluated by determining the completeness of each variable in the dataset. An incomplete field was either blank or coded as ‘missing/not stated’ or ‘unknown’. The descriptive analysis was performed using Microsoft Excel. </w:t>
      </w:r>
    </w:p>
    <w:p w14:paraId="486C38B9" w14:textId="77777777" w:rsidR="00402C37" w:rsidRPr="00402C37" w:rsidRDefault="00402C37" w:rsidP="00402C37">
      <w:pPr>
        <w:divId w:val="935526654"/>
        <w:rPr>
          <w:lang w:val="en-GB"/>
        </w:rPr>
      </w:pPr>
      <w:r w:rsidRPr="00402C37">
        <w:rPr>
          <w:lang w:val="en-GB"/>
        </w:rPr>
        <w:t>The study was approved by the University of Tasmania Human Research Ethics Committee on 29 January 2024 (HREC approval 29396).</w:t>
      </w:r>
    </w:p>
    <w:p w14:paraId="65DCCF78" w14:textId="77777777" w:rsidR="008A0736" w:rsidRDefault="008A0736" w:rsidP="008A0736">
      <w:pPr>
        <w:pStyle w:val="Heading1"/>
        <w:divId w:val="935526654"/>
        <w:rPr>
          <w:lang w:val="en-GB"/>
        </w:rPr>
      </w:pPr>
      <w:r>
        <w:rPr>
          <w:lang w:val="en-GB"/>
        </w:rPr>
        <w:t>Results</w:t>
      </w:r>
    </w:p>
    <w:p w14:paraId="3C41F23E" w14:textId="77777777" w:rsidR="00402C37" w:rsidRDefault="00402C37" w:rsidP="00402C37">
      <w:pPr>
        <w:divId w:val="935526654"/>
      </w:pPr>
      <w:r>
        <w:t xml:space="preserve">There were 4,491 notifications of RSV in Tasmania during 1 July 2022 – 30 June 2023, the first year RSV was notifiable, equating to a notification rate of 779 per 100,000 population per year. </w:t>
      </w:r>
    </w:p>
    <w:p w14:paraId="6310202F" w14:textId="48F707FE" w:rsidR="008A0736" w:rsidRDefault="00402C37" w:rsidP="00402C37">
      <w:pPr>
        <w:divId w:val="935526654"/>
      </w:pPr>
      <w:r>
        <w:t>The median age of RSV notifications was 8 years (interquartile range [IQR]: 1–48 years) and over half were female (53%). The median age for males was 5 years (IQR: 1–42 years) and for females was 20 years (IQR: 2–51 years). Notifications were most common in those aged 0–4 years; within this age group, notifications were higher in those aged less than two years (Table 1). Within those less than 24 months of age, the number of notifications in three-month age groups was similar, although with fewer in the 0–2 months age group (Figure 1).</w:t>
      </w:r>
    </w:p>
    <w:p w14:paraId="706B542F" w14:textId="0E763D23" w:rsidR="00402C37" w:rsidRDefault="00402C37" w:rsidP="00402C37">
      <w:pPr>
        <w:pStyle w:val="CDITable-Title"/>
        <w:divId w:val="935526654"/>
      </w:pPr>
      <w:r w:rsidRPr="00402C37">
        <w:lastRenderedPageBreak/>
        <w:t>Table 1: Number and rate per 100,000 population of RSV notifications by age group and sex,</w:t>
      </w:r>
      <w:r w:rsidRPr="00402C37">
        <w:rPr>
          <w:vertAlign w:val="superscript"/>
        </w:rPr>
        <w:t>a</w:t>
      </w:r>
      <w:r w:rsidRPr="00402C37">
        <w:t xml:space="preserve"> Tasmania, 1</w:t>
      </w:r>
      <w:r>
        <w:t> </w:t>
      </w:r>
      <w:r w:rsidRPr="00402C37">
        <w:t>July 2022 – 30 June 2023</w:t>
      </w:r>
    </w:p>
    <w:tbl>
      <w:tblPr>
        <w:tblW w:w="0" w:type="auto"/>
        <w:tblLayout w:type="fixed"/>
        <w:tblCellMar>
          <w:left w:w="0" w:type="dxa"/>
          <w:right w:w="0" w:type="dxa"/>
        </w:tblCellMar>
        <w:tblLook w:val="0000" w:firstRow="0" w:lastRow="0" w:firstColumn="0" w:lastColumn="0" w:noHBand="0" w:noVBand="0"/>
        <w:tblCaption w:val="Table 1: Number and rate per 100,000 population of RSV notifications by age group and sex,a Tasmania, 1 July 2022 – 30 June 2023"/>
        <w:tblDescription w:val="Table 1 shows the number and rate per 100,000 of RSV notifications by five year age group for females, males and the total. The 0–4 year age group is also presented by individual years. The analysis excludes 38 cases where sex was either not stated or inadequately described."/>
      </w:tblPr>
      <w:tblGrid>
        <w:gridCol w:w="1377"/>
        <w:gridCol w:w="1377"/>
        <w:gridCol w:w="1376"/>
        <w:gridCol w:w="1377"/>
        <w:gridCol w:w="1377"/>
        <w:gridCol w:w="1377"/>
        <w:gridCol w:w="1377"/>
      </w:tblGrid>
      <w:tr w:rsidR="00402C37" w:rsidRPr="00402C37" w14:paraId="75588E7E" w14:textId="77777777" w:rsidTr="00981794">
        <w:trPr>
          <w:divId w:val="935526654"/>
          <w:trHeight w:val="20"/>
          <w:tblHeader/>
        </w:trPr>
        <w:tc>
          <w:tcPr>
            <w:tcW w:w="1377" w:type="dxa"/>
            <w:vMerge w:val="restart"/>
            <w:shd w:val="clear" w:color="auto" w:fill="033636" w:themeFill="text2"/>
            <w:tcMar>
              <w:top w:w="113" w:type="dxa"/>
              <w:left w:w="113" w:type="dxa"/>
              <w:bottom w:w="113" w:type="dxa"/>
              <w:right w:w="113" w:type="dxa"/>
            </w:tcMar>
            <w:vAlign w:val="bottom"/>
          </w:tcPr>
          <w:p w14:paraId="76299C09" w14:textId="77777777" w:rsidR="00402C37" w:rsidRPr="00402C37" w:rsidRDefault="00402C37" w:rsidP="00090108">
            <w:pPr>
              <w:pStyle w:val="CDITable-HeaderRowLeft"/>
            </w:pPr>
            <w:r w:rsidRPr="00402C37">
              <w:t>Age group</w:t>
            </w:r>
          </w:p>
        </w:tc>
        <w:tc>
          <w:tcPr>
            <w:tcW w:w="2753" w:type="dxa"/>
            <w:gridSpan w:val="2"/>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3553FBBB" w14:textId="77777777" w:rsidR="00402C37" w:rsidRPr="00402C37" w:rsidRDefault="00402C37" w:rsidP="00090108">
            <w:pPr>
              <w:pStyle w:val="CDITable-HeaderRowCentre"/>
            </w:pPr>
            <w:r w:rsidRPr="00402C37">
              <w:t>Females</w:t>
            </w:r>
          </w:p>
        </w:tc>
        <w:tc>
          <w:tcPr>
            <w:tcW w:w="2754" w:type="dxa"/>
            <w:gridSpan w:val="2"/>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71ED1583" w14:textId="77777777" w:rsidR="00402C37" w:rsidRPr="00402C37" w:rsidRDefault="00402C37" w:rsidP="00090108">
            <w:pPr>
              <w:pStyle w:val="CDITable-HeaderRowCentre"/>
            </w:pPr>
            <w:r w:rsidRPr="00402C37">
              <w:t>Males</w:t>
            </w:r>
          </w:p>
        </w:tc>
        <w:tc>
          <w:tcPr>
            <w:tcW w:w="2754" w:type="dxa"/>
            <w:gridSpan w:val="2"/>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2F5F47F7" w14:textId="77777777" w:rsidR="00402C37" w:rsidRPr="00402C37" w:rsidRDefault="00402C37" w:rsidP="00090108">
            <w:pPr>
              <w:pStyle w:val="CDITable-HeaderRowCentre"/>
            </w:pPr>
            <w:r w:rsidRPr="00402C37">
              <w:t>Total</w:t>
            </w:r>
          </w:p>
        </w:tc>
      </w:tr>
      <w:tr w:rsidR="00402C37" w:rsidRPr="00402C37" w14:paraId="29AB16E9" w14:textId="77777777" w:rsidTr="00981794">
        <w:trPr>
          <w:divId w:val="935526654"/>
          <w:trHeight w:val="20"/>
          <w:tblHeader/>
        </w:trPr>
        <w:tc>
          <w:tcPr>
            <w:tcW w:w="1377" w:type="dxa"/>
            <w:vMerge/>
            <w:shd w:val="clear" w:color="auto" w:fill="033636" w:themeFill="text2"/>
          </w:tcPr>
          <w:p w14:paraId="615F67B7" w14:textId="77777777" w:rsidR="00402C37" w:rsidRPr="00402C37" w:rsidRDefault="00402C37" w:rsidP="00402C37"/>
        </w:tc>
        <w:tc>
          <w:tcPr>
            <w:tcW w:w="137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241ABFB5" w14:textId="77777777" w:rsidR="00402C37" w:rsidRPr="00402C37" w:rsidRDefault="00402C37" w:rsidP="00090108">
            <w:pPr>
              <w:pStyle w:val="CDITable-HeaderRowCentre"/>
            </w:pPr>
            <w:r w:rsidRPr="00402C37">
              <w:t>Number</w:t>
            </w:r>
          </w:p>
        </w:tc>
        <w:tc>
          <w:tcPr>
            <w:tcW w:w="1376" w:type="dxa"/>
            <w:tcBorders>
              <w:top w:val="single" w:sz="6" w:space="0" w:color="FFFFFF" w:themeColor="background1"/>
              <w:right w:val="single" w:sz="6" w:space="0" w:color="FFFFFF" w:themeColor="background1"/>
            </w:tcBorders>
            <w:shd w:val="clear" w:color="auto" w:fill="033636" w:themeFill="text2"/>
            <w:tcMar>
              <w:top w:w="113" w:type="dxa"/>
              <w:left w:w="113" w:type="dxa"/>
              <w:bottom w:w="113" w:type="dxa"/>
              <w:right w:w="113" w:type="dxa"/>
            </w:tcMar>
            <w:vAlign w:val="bottom"/>
          </w:tcPr>
          <w:p w14:paraId="31394FA2" w14:textId="77777777" w:rsidR="00402C37" w:rsidRPr="00402C37" w:rsidRDefault="00402C37" w:rsidP="00090108">
            <w:pPr>
              <w:pStyle w:val="CDITable-HeaderRowCentre"/>
            </w:pPr>
            <w:r w:rsidRPr="00402C37">
              <w:t>Rate per 100,000</w:t>
            </w:r>
          </w:p>
        </w:tc>
        <w:tc>
          <w:tcPr>
            <w:tcW w:w="1377" w:type="dxa"/>
            <w:tcBorders>
              <w:top w:val="single" w:sz="6" w:space="0" w:color="FFFFFF" w:themeColor="background1"/>
              <w:left w:val="single" w:sz="6" w:space="0" w:color="FFFFFF" w:themeColor="background1"/>
            </w:tcBorders>
            <w:shd w:val="clear" w:color="auto" w:fill="033636" w:themeFill="text2"/>
            <w:tcMar>
              <w:top w:w="113" w:type="dxa"/>
              <w:left w:w="113" w:type="dxa"/>
              <w:bottom w:w="113" w:type="dxa"/>
              <w:right w:w="113" w:type="dxa"/>
            </w:tcMar>
            <w:vAlign w:val="bottom"/>
          </w:tcPr>
          <w:p w14:paraId="7EB0BB43" w14:textId="77777777" w:rsidR="00402C37" w:rsidRPr="00402C37" w:rsidRDefault="00402C37" w:rsidP="00090108">
            <w:pPr>
              <w:pStyle w:val="CDITable-HeaderRowCentre"/>
            </w:pPr>
            <w:r w:rsidRPr="00402C37">
              <w:t>Number</w:t>
            </w:r>
          </w:p>
        </w:tc>
        <w:tc>
          <w:tcPr>
            <w:tcW w:w="1377" w:type="dxa"/>
            <w:tcBorders>
              <w:top w:val="single" w:sz="6" w:space="0" w:color="FFFFFF" w:themeColor="background1"/>
              <w:right w:val="single" w:sz="6" w:space="0" w:color="FFFFFF" w:themeColor="background1"/>
            </w:tcBorders>
            <w:shd w:val="clear" w:color="auto" w:fill="033636" w:themeFill="text2"/>
            <w:tcMar>
              <w:top w:w="113" w:type="dxa"/>
              <w:left w:w="113" w:type="dxa"/>
              <w:bottom w:w="113" w:type="dxa"/>
              <w:right w:w="113" w:type="dxa"/>
            </w:tcMar>
            <w:vAlign w:val="bottom"/>
          </w:tcPr>
          <w:p w14:paraId="5D0CE922" w14:textId="77777777" w:rsidR="00402C37" w:rsidRPr="00402C37" w:rsidRDefault="00402C37" w:rsidP="00090108">
            <w:pPr>
              <w:pStyle w:val="CDITable-HeaderRowCentre"/>
            </w:pPr>
            <w:r w:rsidRPr="00402C37">
              <w:t>Rate per 100,000</w:t>
            </w:r>
          </w:p>
        </w:tc>
        <w:tc>
          <w:tcPr>
            <w:tcW w:w="1377" w:type="dxa"/>
            <w:tcBorders>
              <w:top w:val="single" w:sz="6" w:space="0" w:color="FFFFFF" w:themeColor="background1"/>
              <w:left w:val="single" w:sz="6" w:space="0" w:color="FFFFFF" w:themeColor="background1"/>
            </w:tcBorders>
            <w:shd w:val="clear" w:color="auto" w:fill="033636" w:themeFill="text2"/>
            <w:tcMar>
              <w:top w:w="113" w:type="dxa"/>
              <w:left w:w="113" w:type="dxa"/>
              <w:bottom w:w="113" w:type="dxa"/>
              <w:right w:w="113" w:type="dxa"/>
            </w:tcMar>
            <w:vAlign w:val="bottom"/>
          </w:tcPr>
          <w:p w14:paraId="5358977D" w14:textId="77777777" w:rsidR="00402C37" w:rsidRPr="00402C37" w:rsidRDefault="00402C37" w:rsidP="00090108">
            <w:pPr>
              <w:pStyle w:val="CDITable-HeaderRowCentre"/>
            </w:pPr>
            <w:r w:rsidRPr="00402C37">
              <w:t>Number</w:t>
            </w:r>
          </w:p>
        </w:tc>
        <w:tc>
          <w:tcPr>
            <w:tcW w:w="137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08B883F6" w14:textId="77777777" w:rsidR="00402C37" w:rsidRPr="00402C37" w:rsidRDefault="00402C37" w:rsidP="00090108">
            <w:pPr>
              <w:pStyle w:val="CDITable-HeaderRowCentre"/>
            </w:pPr>
            <w:r w:rsidRPr="00402C37">
              <w:t>Rate per 100,000</w:t>
            </w:r>
          </w:p>
        </w:tc>
      </w:tr>
      <w:tr w:rsidR="00402C37" w:rsidRPr="00402C37" w14:paraId="0B96C477" w14:textId="77777777" w:rsidTr="00981794">
        <w:trPr>
          <w:divId w:val="935526654"/>
          <w:trHeight w:val="20"/>
        </w:trPr>
        <w:tc>
          <w:tcPr>
            <w:tcW w:w="1377" w:type="dxa"/>
            <w:tcBorders>
              <w:bottom w:val="single" w:sz="6" w:space="0" w:color="033636" w:themeColor="text2"/>
            </w:tcBorders>
            <w:shd w:val="clear" w:color="auto" w:fill="FFFFFF" w:themeFill="background1"/>
            <w:tcMar>
              <w:top w:w="113" w:type="dxa"/>
              <w:left w:w="113" w:type="dxa"/>
              <w:bottom w:w="113" w:type="dxa"/>
              <w:right w:w="113" w:type="dxa"/>
            </w:tcMar>
            <w:vAlign w:val="center"/>
          </w:tcPr>
          <w:p w14:paraId="239AB85F" w14:textId="77777777" w:rsidR="00402C37" w:rsidRPr="00402C37" w:rsidRDefault="00402C37" w:rsidP="00090108">
            <w:pPr>
              <w:pStyle w:val="CDITable-RowLeft"/>
            </w:pPr>
            <w:r w:rsidRPr="00402C37">
              <w:t>0–4</w:t>
            </w:r>
          </w:p>
        </w:tc>
        <w:tc>
          <w:tcPr>
            <w:tcW w:w="1377" w:type="dxa"/>
            <w:tcBorders>
              <w:bottom w:val="single" w:sz="6" w:space="0" w:color="033636" w:themeColor="text2"/>
            </w:tcBorders>
            <w:tcMar>
              <w:top w:w="113" w:type="dxa"/>
              <w:left w:w="113" w:type="dxa"/>
              <w:bottom w:w="113" w:type="dxa"/>
              <w:right w:w="113" w:type="dxa"/>
            </w:tcMar>
            <w:vAlign w:val="center"/>
          </w:tcPr>
          <w:p w14:paraId="019FD22F" w14:textId="77777777" w:rsidR="00402C37" w:rsidRPr="00402C37" w:rsidRDefault="00402C37" w:rsidP="00090108">
            <w:pPr>
              <w:pStyle w:val="CDITable-RowCentre"/>
            </w:pPr>
            <w:r w:rsidRPr="00402C37">
              <w:t>899</w:t>
            </w:r>
          </w:p>
        </w:tc>
        <w:tc>
          <w:tcPr>
            <w:tcW w:w="1376" w:type="dxa"/>
            <w:tcBorders>
              <w:bottom w:val="single" w:sz="6" w:space="0" w:color="033636" w:themeColor="text2"/>
              <w:right w:val="single" w:sz="6" w:space="0" w:color="033636" w:themeColor="text2"/>
            </w:tcBorders>
            <w:tcMar>
              <w:top w:w="113" w:type="dxa"/>
              <w:left w:w="113" w:type="dxa"/>
              <w:bottom w:w="113" w:type="dxa"/>
              <w:right w:w="113" w:type="dxa"/>
            </w:tcMar>
            <w:vAlign w:val="center"/>
          </w:tcPr>
          <w:p w14:paraId="6B4EF4FE" w14:textId="77777777" w:rsidR="00402C37" w:rsidRPr="00402C37" w:rsidRDefault="00402C37" w:rsidP="00090108">
            <w:pPr>
              <w:pStyle w:val="CDITable-RowCentre"/>
            </w:pPr>
            <w:r w:rsidRPr="00402C37">
              <w:t>6,339.9</w:t>
            </w:r>
          </w:p>
        </w:tc>
        <w:tc>
          <w:tcPr>
            <w:tcW w:w="1377" w:type="dxa"/>
            <w:tcBorders>
              <w:left w:val="single" w:sz="6" w:space="0" w:color="033636" w:themeColor="text2"/>
              <w:bottom w:val="single" w:sz="6" w:space="0" w:color="033636" w:themeColor="text2"/>
            </w:tcBorders>
            <w:tcMar>
              <w:top w:w="113" w:type="dxa"/>
              <w:left w:w="113" w:type="dxa"/>
              <w:bottom w:w="113" w:type="dxa"/>
              <w:right w:w="113" w:type="dxa"/>
            </w:tcMar>
            <w:vAlign w:val="center"/>
          </w:tcPr>
          <w:p w14:paraId="4F199CA6" w14:textId="77777777" w:rsidR="00402C37" w:rsidRPr="00402C37" w:rsidRDefault="00402C37" w:rsidP="00090108">
            <w:pPr>
              <w:pStyle w:val="CDITable-RowCentre"/>
            </w:pPr>
            <w:r w:rsidRPr="00402C37">
              <w:t>1,022</w:t>
            </w:r>
          </w:p>
        </w:tc>
        <w:tc>
          <w:tcPr>
            <w:tcW w:w="1377" w:type="dxa"/>
            <w:tcBorders>
              <w:bottom w:val="single" w:sz="6" w:space="0" w:color="033636" w:themeColor="text2"/>
              <w:right w:val="single" w:sz="6" w:space="0" w:color="033636" w:themeColor="text2"/>
            </w:tcBorders>
            <w:tcMar>
              <w:top w:w="113" w:type="dxa"/>
              <w:left w:w="113" w:type="dxa"/>
              <w:bottom w:w="113" w:type="dxa"/>
              <w:right w:w="113" w:type="dxa"/>
            </w:tcMar>
            <w:vAlign w:val="center"/>
          </w:tcPr>
          <w:p w14:paraId="249B72BC" w14:textId="77777777" w:rsidR="00402C37" w:rsidRPr="00402C37" w:rsidRDefault="00402C37" w:rsidP="00090108">
            <w:pPr>
              <w:pStyle w:val="CDITable-RowCentre"/>
            </w:pPr>
            <w:r w:rsidRPr="00402C37">
              <w:t>6,747.2</w:t>
            </w:r>
          </w:p>
        </w:tc>
        <w:tc>
          <w:tcPr>
            <w:tcW w:w="1377" w:type="dxa"/>
            <w:tcBorders>
              <w:left w:val="single" w:sz="6" w:space="0" w:color="033636" w:themeColor="text2"/>
              <w:bottom w:val="single" w:sz="6" w:space="0" w:color="033636" w:themeColor="text2"/>
            </w:tcBorders>
            <w:tcMar>
              <w:top w:w="113" w:type="dxa"/>
              <w:left w:w="113" w:type="dxa"/>
              <w:bottom w:w="113" w:type="dxa"/>
              <w:right w:w="113" w:type="dxa"/>
            </w:tcMar>
            <w:vAlign w:val="center"/>
          </w:tcPr>
          <w:p w14:paraId="7A8D5562" w14:textId="77777777" w:rsidR="00402C37" w:rsidRPr="00402C37" w:rsidRDefault="00402C37" w:rsidP="00090108">
            <w:pPr>
              <w:pStyle w:val="CDITable-RowCentre"/>
            </w:pPr>
            <w:r w:rsidRPr="00402C37">
              <w:t>1,921</w:t>
            </w:r>
          </w:p>
        </w:tc>
        <w:tc>
          <w:tcPr>
            <w:tcW w:w="1377" w:type="dxa"/>
            <w:tcBorders>
              <w:bottom w:val="single" w:sz="6" w:space="0" w:color="033636" w:themeColor="text2"/>
            </w:tcBorders>
            <w:tcMar>
              <w:top w:w="113" w:type="dxa"/>
              <w:left w:w="113" w:type="dxa"/>
              <w:bottom w:w="113" w:type="dxa"/>
              <w:right w:w="113" w:type="dxa"/>
            </w:tcMar>
            <w:vAlign w:val="center"/>
          </w:tcPr>
          <w:p w14:paraId="1B118E8F" w14:textId="77777777" w:rsidR="00402C37" w:rsidRPr="00402C37" w:rsidRDefault="00402C37" w:rsidP="00090108">
            <w:pPr>
              <w:pStyle w:val="CDITable-RowCentre"/>
            </w:pPr>
            <w:r w:rsidRPr="00402C37">
              <w:t>6,550.3</w:t>
            </w:r>
          </w:p>
        </w:tc>
      </w:tr>
      <w:tr w:rsidR="00402C37" w:rsidRPr="00402C37" w14:paraId="69A148CC" w14:textId="77777777" w:rsidTr="00981794">
        <w:trPr>
          <w:divId w:val="935526654"/>
          <w:trHeight w:val="20"/>
        </w:trPr>
        <w:tc>
          <w:tcPr>
            <w:tcW w:w="1377" w:type="dxa"/>
            <w:tcBorders>
              <w:top w:val="single" w:sz="6" w:space="0" w:color="033636" w:themeColor="text2"/>
              <w:bottom w:val="single" w:sz="6" w:space="0" w:color="033636" w:themeColor="text2"/>
            </w:tcBorders>
            <w:shd w:val="clear" w:color="auto" w:fill="FFFFFF" w:themeFill="background1"/>
            <w:tcMar>
              <w:top w:w="113" w:type="dxa"/>
              <w:left w:w="113" w:type="dxa"/>
              <w:bottom w:w="113" w:type="dxa"/>
              <w:right w:w="113" w:type="dxa"/>
            </w:tcMar>
            <w:vAlign w:val="center"/>
          </w:tcPr>
          <w:p w14:paraId="31FBCBC5" w14:textId="77777777" w:rsidR="00402C37" w:rsidRPr="00402C37" w:rsidRDefault="00402C37" w:rsidP="00090108">
            <w:pPr>
              <w:pStyle w:val="CDITable-RowLeft"/>
            </w:pPr>
            <w:r w:rsidRPr="00402C37">
              <w:t>&lt; 1 year</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3C5036F" w14:textId="77777777" w:rsidR="00402C37" w:rsidRPr="00402C37" w:rsidRDefault="00402C37" w:rsidP="00090108">
            <w:pPr>
              <w:pStyle w:val="CDITable-RowCentre"/>
            </w:pPr>
            <w:r w:rsidRPr="00402C37">
              <w:t>259</w:t>
            </w:r>
          </w:p>
        </w:tc>
        <w:tc>
          <w:tcPr>
            <w:tcW w:w="1376"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58217C02" w14:textId="77777777" w:rsidR="00402C37" w:rsidRPr="00402C37" w:rsidRDefault="00402C37" w:rsidP="00090108">
            <w:pPr>
              <w:pStyle w:val="CDITable-RowCentre"/>
            </w:pPr>
            <w:r w:rsidRPr="00402C37">
              <w:t>9,174.6</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179F4BE5" w14:textId="77777777" w:rsidR="00402C37" w:rsidRPr="00402C37" w:rsidRDefault="00402C37" w:rsidP="00090108">
            <w:pPr>
              <w:pStyle w:val="CDITable-RowCentre"/>
            </w:pPr>
            <w:r w:rsidRPr="00402C37">
              <w:t>311</w:t>
            </w:r>
          </w:p>
        </w:tc>
        <w:tc>
          <w:tcPr>
            <w:tcW w:w="137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552F4AA2" w14:textId="77777777" w:rsidR="00402C37" w:rsidRPr="00402C37" w:rsidRDefault="00402C37" w:rsidP="00090108">
            <w:pPr>
              <w:pStyle w:val="CDITable-RowCentre"/>
            </w:pPr>
            <w:r w:rsidRPr="00402C37">
              <w:t>10,531.7</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124F1CC5" w14:textId="77777777" w:rsidR="00402C37" w:rsidRPr="00402C37" w:rsidRDefault="00402C37" w:rsidP="00090108">
            <w:pPr>
              <w:pStyle w:val="CDITable-RowCentre"/>
            </w:pPr>
            <w:r w:rsidRPr="00402C37">
              <w:t>579</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00F64F9" w14:textId="77777777" w:rsidR="00402C37" w:rsidRPr="00402C37" w:rsidRDefault="00402C37" w:rsidP="00090108">
            <w:pPr>
              <w:pStyle w:val="CDITable-RowCentre"/>
            </w:pPr>
            <w:r w:rsidRPr="00402C37">
              <w:t>10,024.2</w:t>
            </w:r>
          </w:p>
        </w:tc>
      </w:tr>
      <w:tr w:rsidR="00402C37" w:rsidRPr="00402C37" w14:paraId="11A54598" w14:textId="77777777" w:rsidTr="00981794">
        <w:trPr>
          <w:divId w:val="935526654"/>
          <w:trHeight w:val="20"/>
        </w:trPr>
        <w:tc>
          <w:tcPr>
            <w:tcW w:w="1377" w:type="dxa"/>
            <w:tcBorders>
              <w:top w:val="single" w:sz="6" w:space="0" w:color="033636" w:themeColor="text2"/>
              <w:bottom w:val="single" w:sz="6" w:space="0" w:color="033636" w:themeColor="text2"/>
            </w:tcBorders>
            <w:shd w:val="clear" w:color="auto" w:fill="FFFFFF" w:themeFill="background1"/>
            <w:tcMar>
              <w:top w:w="113" w:type="dxa"/>
              <w:left w:w="113" w:type="dxa"/>
              <w:bottom w:w="113" w:type="dxa"/>
              <w:right w:w="113" w:type="dxa"/>
            </w:tcMar>
            <w:vAlign w:val="center"/>
          </w:tcPr>
          <w:p w14:paraId="6B72979E" w14:textId="77777777" w:rsidR="00402C37" w:rsidRPr="00402C37" w:rsidRDefault="00402C37" w:rsidP="00090108">
            <w:pPr>
              <w:pStyle w:val="CDITable-RowLeft"/>
            </w:pPr>
            <w:r w:rsidRPr="00402C37">
              <w:t>1 year</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62F8A40" w14:textId="77777777" w:rsidR="00402C37" w:rsidRPr="00402C37" w:rsidRDefault="00402C37" w:rsidP="00090108">
            <w:pPr>
              <w:pStyle w:val="CDITable-RowCentre"/>
            </w:pPr>
            <w:r w:rsidRPr="00402C37">
              <w:t>276</w:t>
            </w:r>
          </w:p>
        </w:tc>
        <w:tc>
          <w:tcPr>
            <w:tcW w:w="1376"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08D78ADA" w14:textId="77777777" w:rsidR="00402C37" w:rsidRPr="00402C37" w:rsidRDefault="00402C37" w:rsidP="00090108">
            <w:pPr>
              <w:pStyle w:val="CDITable-RowCentre"/>
            </w:pPr>
            <w:r w:rsidRPr="00402C37">
              <w:t>9,640.2</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4FF67941" w14:textId="77777777" w:rsidR="00402C37" w:rsidRPr="00402C37" w:rsidRDefault="00402C37" w:rsidP="00090108">
            <w:pPr>
              <w:pStyle w:val="CDITable-RowCentre"/>
            </w:pPr>
            <w:r w:rsidRPr="00402C37">
              <w:t>280</w:t>
            </w:r>
          </w:p>
        </w:tc>
        <w:tc>
          <w:tcPr>
            <w:tcW w:w="137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3D9684F6" w14:textId="77777777" w:rsidR="00402C37" w:rsidRPr="00402C37" w:rsidRDefault="00402C37" w:rsidP="00090108">
            <w:pPr>
              <w:pStyle w:val="CDITable-RowCentre"/>
            </w:pPr>
            <w:r w:rsidRPr="00402C37">
              <w:t>9,265.4</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52779CBF" w14:textId="77777777" w:rsidR="00402C37" w:rsidRPr="00402C37" w:rsidRDefault="00402C37" w:rsidP="00090108">
            <w:pPr>
              <w:pStyle w:val="CDITable-RowCentre"/>
            </w:pPr>
            <w:r w:rsidRPr="00402C37">
              <w:t>563</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1C51AE3" w14:textId="77777777" w:rsidR="00402C37" w:rsidRPr="00402C37" w:rsidRDefault="00402C37" w:rsidP="00090108">
            <w:pPr>
              <w:pStyle w:val="CDITable-RowCentre"/>
            </w:pPr>
            <w:r w:rsidRPr="00402C37">
              <w:t>9,566.7</w:t>
            </w:r>
          </w:p>
        </w:tc>
      </w:tr>
      <w:tr w:rsidR="00402C37" w:rsidRPr="00402C37" w14:paraId="43FDB864" w14:textId="77777777" w:rsidTr="00981794">
        <w:trPr>
          <w:divId w:val="935526654"/>
          <w:trHeight w:val="20"/>
        </w:trPr>
        <w:tc>
          <w:tcPr>
            <w:tcW w:w="1377" w:type="dxa"/>
            <w:tcBorders>
              <w:top w:val="single" w:sz="6" w:space="0" w:color="033636" w:themeColor="text2"/>
              <w:bottom w:val="single" w:sz="6" w:space="0" w:color="033636" w:themeColor="text2"/>
            </w:tcBorders>
            <w:shd w:val="clear" w:color="auto" w:fill="FFFFFF" w:themeFill="background1"/>
            <w:tcMar>
              <w:top w:w="113" w:type="dxa"/>
              <w:left w:w="113" w:type="dxa"/>
              <w:bottom w:w="113" w:type="dxa"/>
              <w:right w:w="113" w:type="dxa"/>
            </w:tcMar>
            <w:vAlign w:val="center"/>
          </w:tcPr>
          <w:p w14:paraId="0C6B8481" w14:textId="77777777" w:rsidR="00402C37" w:rsidRPr="00402C37" w:rsidRDefault="00402C37" w:rsidP="00090108">
            <w:pPr>
              <w:pStyle w:val="CDITable-RowLeft"/>
            </w:pPr>
            <w:r w:rsidRPr="00402C37">
              <w:t>2 years</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3C709C1" w14:textId="77777777" w:rsidR="00402C37" w:rsidRPr="00402C37" w:rsidRDefault="00402C37" w:rsidP="00090108">
            <w:pPr>
              <w:pStyle w:val="CDITable-RowCentre"/>
            </w:pPr>
            <w:r w:rsidRPr="00402C37">
              <w:t>162</w:t>
            </w:r>
          </w:p>
        </w:tc>
        <w:tc>
          <w:tcPr>
            <w:tcW w:w="1376"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55CDF021" w14:textId="77777777" w:rsidR="00402C37" w:rsidRPr="00402C37" w:rsidRDefault="00402C37" w:rsidP="00090108">
            <w:pPr>
              <w:pStyle w:val="CDITable-RowCentre"/>
            </w:pPr>
            <w:r w:rsidRPr="00402C37">
              <w:t>5,742.6</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5881F29C" w14:textId="77777777" w:rsidR="00402C37" w:rsidRPr="00402C37" w:rsidRDefault="00402C37" w:rsidP="00090108">
            <w:pPr>
              <w:pStyle w:val="CDITable-RowCentre"/>
            </w:pPr>
            <w:r w:rsidRPr="00402C37">
              <w:t>196</w:t>
            </w:r>
          </w:p>
        </w:tc>
        <w:tc>
          <w:tcPr>
            <w:tcW w:w="137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0C453599" w14:textId="77777777" w:rsidR="00402C37" w:rsidRPr="00402C37" w:rsidRDefault="00402C37" w:rsidP="00090108">
            <w:pPr>
              <w:pStyle w:val="CDITable-RowCentre"/>
            </w:pPr>
            <w:r w:rsidRPr="00402C37">
              <w:t>6,520.3</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5625E9C6" w14:textId="77777777" w:rsidR="00402C37" w:rsidRPr="00402C37" w:rsidRDefault="00402C37" w:rsidP="00090108">
            <w:pPr>
              <w:pStyle w:val="CDITable-RowCentre"/>
            </w:pPr>
            <w:r w:rsidRPr="00402C37">
              <w:t>361</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7863DCE" w14:textId="77777777" w:rsidR="00402C37" w:rsidRPr="00402C37" w:rsidRDefault="00402C37" w:rsidP="00090108">
            <w:pPr>
              <w:pStyle w:val="CDITable-RowCentre"/>
            </w:pPr>
            <w:r w:rsidRPr="00402C37">
              <w:t>6,195.3</w:t>
            </w:r>
          </w:p>
        </w:tc>
      </w:tr>
      <w:tr w:rsidR="00402C37" w:rsidRPr="00402C37" w14:paraId="701E956F" w14:textId="77777777" w:rsidTr="00981794">
        <w:trPr>
          <w:divId w:val="935526654"/>
          <w:trHeight w:val="20"/>
        </w:trPr>
        <w:tc>
          <w:tcPr>
            <w:tcW w:w="1377" w:type="dxa"/>
            <w:tcBorders>
              <w:top w:val="single" w:sz="6" w:space="0" w:color="033636" w:themeColor="text2"/>
              <w:bottom w:val="single" w:sz="6" w:space="0" w:color="033636" w:themeColor="text2"/>
            </w:tcBorders>
            <w:shd w:val="clear" w:color="auto" w:fill="FFFFFF" w:themeFill="background1"/>
            <w:tcMar>
              <w:top w:w="113" w:type="dxa"/>
              <w:left w:w="113" w:type="dxa"/>
              <w:bottom w:w="113" w:type="dxa"/>
              <w:right w:w="113" w:type="dxa"/>
            </w:tcMar>
            <w:vAlign w:val="center"/>
          </w:tcPr>
          <w:p w14:paraId="7797A2C6" w14:textId="77777777" w:rsidR="00402C37" w:rsidRPr="00402C37" w:rsidRDefault="00402C37" w:rsidP="00090108">
            <w:pPr>
              <w:pStyle w:val="CDITable-RowLeft"/>
            </w:pPr>
            <w:r w:rsidRPr="00402C37">
              <w:t>3 years</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F4C8CF4" w14:textId="77777777" w:rsidR="00402C37" w:rsidRPr="00402C37" w:rsidRDefault="00402C37" w:rsidP="00090108">
            <w:pPr>
              <w:pStyle w:val="CDITable-RowCentre"/>
            </w:pPr>
            <w:r w:rsidRPr="00402C37">
              <w:t>124</w:t>
            </w:r>
          </w:p>
        </w:tc>
        <w:tc>
          <w:tcPr>
            <w:tcW w:w="1376"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06C82C69" w14:textId="77777777" w:rsidR="00402C37" w:rsidRPr="00402C37" w:rsidRDefault="00402C37" w:rsidP="00090108">
            <w:pPr>
              <w:pStyle w:val="CDITable-RowCentre"/>
            </w:pPr>
            <w:r w:rsidRPr="00402C37">
              <w:t>4,381.6</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485C5B5C" w14:textId="77777777" w:rsidR="00402C37" w:rsidRPr="00402C37" w:rsidRDefault="00402C37" w:rsidP="00090108">
            <w:pPr>
              <w:pStyle w:val="CDITable-RowCentre"/>
            </w:pPr>
            <w:r w:rsidRPr="00402C37">
              <w:t>146</w:t>
            </w:r>
          </w:p>
        </w:tc>
        <w:tc>
          <w:tcPr>
            <w:tcW w:w="137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1A29C080" w14:textId="77777777" w:rsidR="00402C37" w:rsidRPr="00402C37" w:rsidRDefault="00402C37" w:rsidP="00090108">
            <w:pPr>
              <w:pStyle w:val="CDITable-RowCentre"/>
            </w:pPr>
            <w:r w:rsidRPr="00402C37">
              <w:t>4,738.7</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4ECAAD70" w14:textId="77777777" w:rsidR="00402C37" w:rsidRPr="00402C37" w:rsidRDefault="00402C37" w:rsidP="00090108">
            <w:pPr>
              <w:pStyle w:val="CDITable-RowCentre"/>
            </w:pPr>
            <w:r w:rsidRPr="00402C37">
              <w:t>273</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06C91B4" w14:textId="77777777" w:rsidR="00402C37" w:rsidRPr="00402C37" w:rsidRDefault="00402C37" w:rsidP="00090108">
            <w:pPr>
              <w:pStyle w:val="CDITable-RowCentre"/>
            </w:pPr>
            <w:r w:rsidRPr="00402C37">
              <w:t>4,618.5</w:t>
            </w:r>
          </w:p>
        </w:tc>
      </w:tr>
      <w:tr w:rsidR="00402C37" w:rsidRPr="00402C37" w14:paraId="54014AAC" w14:textId="77777777" w:rsidTr="00981794">
        <w:trPr>
          <w:divId w:val="935526654"/>
          <w:trHeight w:val="20"/>
        </w:trPr>
        <w:tc>
          <w:tcPr>
            <w:tcW w:w="1377" w:type="dxa"/>
            <w:tcBorders>
              <w:top w:val="single" w:sz="6" w:space="0" w:color="033636" w:themeColor="text2"/>
              <w:bottom w:val="single" w:sz="6" w:space="0" w:color="033636" w:themeColor="text2"/>
            </w:tcBorders>
            <w:shd w:val="clear" w:color="auto" w:fill="FFFFFF" w:themeFill="background1"/>
            <w:tcMar>
              <w:top w:w="113" w:type="dxa"/>
              <w:left w:w="113" w:type="dxa"/>
              <w:bottom w:w="113" w:type="dxa"/>
              <w:right w:w="113" w:type="dxa"/>
            </w:tcMar>
            <w:vAlign w:val="center"/>
          </w:tcPr>
          <w:p w14:paraId="6057A481" w14:textId="77777777" w:rsidR="00402C37" w:rsidRPr="00402C37" w:rsidRDefault="00402C37" w:rsidP="00090108">
            <w:pPr>
              <w:pStyle w:val="CDITable-RowLeft"/>
            </w:pPr>
            <w:r w:rsidRPr="00402C37">
              <w:t>4 years</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D4ED955" w14:textId="77777777" w:rsidR="00402C37" w:rsidRPr="00402C37" w:rsidRDefault="00402C37" w:rsidP="00090108">
            <w:pPr>
              <w:pStyle w:val="CDITable-RowCentre"/>
            </w:pPr>
            <w:r w:rsidRPr="00402C37">
              <w:t>78</w:t>
            </w:r>
          </w:p>
        </w:tc>
        <w:tc>
          <w:tcPr>
            <w:tcW w:w="1376"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74F45E01" w14:textId="77777777" w:rsidR="00402C37" w:rsidRPr="00402C37" w:rsidRDefault="00402C37" w:rsidP="00090108">
            <w:pPr>
              <w:pStyle w:val="CDITable-RowCentre"/>
            </w:pPr>
            <w:r w:rsidRPr="00402C37">
              <w:t>2,742.6</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5DC73B2E" w14:textId="77777777" w:rsidR="00402C37" w:rsidRPr="00402C37" w:rsidRDefault="00402C37" w:rsidP="00090108">
            <w:pPr>
              <w:pStyle w:val="CDITable-RowCentre"/>
            </w:pPr>
            <w:r w:rsidRPr="00402C37">
              <w:t>89</w:t>
            </w:r>
          </w:p>
        </w:tc>
        <w:tc>
          <w:tcPr>
            <w:tcW w:w="137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3F36466D" w14:textId="77777777" w:rsidR="00402C37" w:rsidRPr="00402C37" w:rsidRDefault="00402C37" w:rsidP="00090108">
            <w:pPr>
              <w:pStyle w:val="CDITable-RowCentre"/>
            </w:pPr>
            <w:r w:rsidRPr="00402C37">
              <w:t>2,884.9</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2038A0F6" w14:textId="77777777" w:rsidR="00402C37" w:rsidRPr="00402C37" w:rsidRDefault="00402C37" w:rsidP="00090108">
            <w:pPr>
              <w:pStyle w:val="CDITable-RowCentre"/>
            </w:pPr>
            <w:r w:rsidRPr="00402C37">
              <w:t>168</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783BD48" w14:textId="77777777" w:rsidR="00402C37" w:rsidRPr="00402C37" w:rsidRDefault="00402C37" w:rsidP="00090108">
            <w:pPr>
              <w:pStyle w:val="CDITable-RowCentre"/>
            </w:pPr>
            <w:r w:rsidRPr="00402C37">
              <w:t>2,833.5</w:t>
            </w:r>
          </w:p>
        </w:tc>
      </w:tr>
      <w:tr w:rsidR="00402C37" w:rsidRPr="00402C37" w14:paraId="4CAB817F" w14:textId="77777777" w:rsidTr="00981794">
        <w:trPr>
          <w:divId w:val="935526654"/>
          <w:trHeight w:val="20"/>
        </w:trPr>
        <w:tc>
          <w:tcPr>
            <w:tcW w:w="1377" w:type="dxa"/>
            <w:tcBorders>
              <w:top w:val="single" w:sz="6" w:space="0" w:color="033636" w:themeColor="text2"/>
              <w:bottom w:val="single" w:sz="6" w:space="0" w:color="033636" w:themeColor="text2"/>
            </w:tcBorders>
            <w:shd w:val="clear" w:color="auto" w:fill="FFFFFF" w:themeFill="background1"/>
            <w:tcMar>
              <w:top w:w="113" w:type="dxa"/>
              <w:left w:w="113" w:type="dxa"/>
              <w:bottom w:w="113" w:type="dxa"/>
              <w:right w:w="113" w:type="dxa"/>
            </w:tcMar>
            <w:vAlign w:val="center"/>
          </w:tcPr>
          <w:p w14:paraId="509A8851" w14:textId="77777777" w:rsidR="00402C37" w:rsidRPr="00402C37" w:rsidRDefault="00402C37" w:rsidP="00090108">
            <w:pPr>
              <w:pStyle w:val="CDITable-RowLeft"/>
            </w:pPr>
            <w:r w:rsidRPr="00402C37">
              <w:t>5–9</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36C717A" w14:textId="77777777" w:rsidR="00402C37" w:rsidRPr="00402C37" w:rsidRDefault="00402C37" w:rsidP="00090108">
            <w:pPr>
              <w:pStyle w:val="CDITable-RowCentre"/>
            </w:pPr>
            <w:r w:rsidRPr="00402C37">
              <w:t>144</w:t>
            </w:r>
          </w:p>
        </w:tc>
        <w:tc>
          <w:tcPr>
            <w:tcW w:w="1376"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024A3E4D" w14:textId="77777777" w:rsidR="00402C37" w:rsidRPr="00402C37" w:rsidRDefault="00402C37" w:rsidP="00090108">
            <w:pPr>
              <w:pStyle w:val="CDITable-RowCentre"/>
            </w:pPr>
            <w:r w:rsidRPr="00402C37">
              <w:t>929.2</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7544AF71" w14:textId="77777777" w:rsidR="00402C37" w:rsidRPr="00402C37" w:rsidRDefault="00402C37" w:rsidP="00090108">
            <w:pPr>
              <w:pStyle w:val="CDITable-RowCentre"/>
            </w:pPr>
            <w:r w:rsidRPr="00402C37">
              <w:t>180</w:t>
            </w:r>
          </w:p>
        </w:tc>
        <w:tc>
          <w:tcPr>
            <w:tcW w:w="137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670B66FB" w14:textId="77777777" w:rsidR="00402C37" w:rsidRPr="00402C37" w:rsidRDefault="00402C37" w:rsidP="00090108">
            <w:pPr>
              <w:pStyle w:val="CDITable-RowCentre"/>
            </w:pPr>
            <w:r w:rsidRPr="00402C37">
              <w:t>1,102.5</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3B7A8F5D" w14:textId="77777777" w:rsidR="00402C37" w:rsidRPr="00402C37" w:rsidRDefault="00402C37" w:rsidP="00090108">
            <w:pPr>
              <w:pStyle w:val="CDITable-RowCentre"/>
            </w:pPr>
            <w:r w:rsidRPr="00402C37">
              <w:t>324</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7DAB701" w14:textId="77777777" w:rsidR="00402C37" w:rsidRPr="00402C37" w:rsidRDefault="00402C37" w:rsidP="00090108">
            <w:pPr>
              <w:pStyle w:val="CDITable-RowCentre"/>
            </w:pPr>
            <w:r w:rsidRPr="00402C37">
              <w:t>1,018.1</w:t>
            </w:r>
          </w:p>
        </w:tc>
      </w:tr>
      <w:tr w:rsidR="00402C37" w:rsidRPr="00402C37" w14:paraId="75696703" w14:textId="77777777" w:rsidTr="00981794">
        <w:trPr>
          <w:divId w:val="935526654"/>
          <w:trHeight w:val="20"/>
        </w:trPr>
        <w:tc>
          <w:tcPr>
            <w:tcW w:w="1377" w:type="dxa"/>
            <w:tcBorders>
              <w:top w:val="single" w:sz="6" w:space="0" w:color="033636" w:themeColor="text2"/>
              <w:bottom w:val="single" w:sz="6" w:space="0" w:color="033636" w:themeColor="text2"/>
            </w:tcBorders>
            <w:shd w:val="clear" w:color="auto" w:fill="FFFFFF" w:themeFill="background1"/>
            <w:tcMar>
              <w:top w:w="113" w:type="dxa"/>
              <w:left w:w="113" w:type="dxa"/>
              <w:bottom w:w="113" w:type="dxa"/>
              <w:right w:w="113" w:type="dxa"/>
            </w:tcMar>
            <w:vAlign w:val="center"/>
          </w:tcPr>
          <w:p w14:paraId="6A93C0B2" w14:textId="77777777" w:rsidR="00402C37" w:rsidRPr="00402C37" w:rsidRDefault="00402C37" w:rsidP="00090108">
            <w:pPr>
              <w:pStyle w:val="CDITable-RowLeft"/>
            </w:pPr>
            <w:r w:rsidRPr="00402C37">
              <w:t>10–14</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1546B85" w14:textId="77777777" w:rsidR="00402C37" w:rsidRPr="00402C37" w:rsidRDefault="00402C37" w:rsidP="00090108">
            <w:pPr>
              <w:pStyle w:val="CDITable-RowCentre"/>
            </w:pPr>
            <w:r w:rsidRPr="00402C37">
              <w:t>57</w:t>
            </w:r>
          </w:p>
        </w:tc>
        <w:tc>
          <w:tcPr>
            <w:tcW w:w="1376"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5EAD94A6" w14:textId="77777777" w:rsidR="00402C37" w:rsidRPr="00402C37" w:rsidRDefault="00402C37" w:rsidP="00090108">
            <w:pPr>
              <w:pStyle w:val="CDITable-RowCentre"/>
            </w:pPr>
            <w:r w:rsidRPr="00402C37">
              <w:t>347.7</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442C7B26" w14:textId="77777777" w:rsidR="00402C37" w:rsidRPr="00402C37" w:rsidRDefault="00402C37" w:rsidP="00090108">
            <w:pPr>
              <w:pStyle w:val="CDITable-RowCentre"/>
            </w:pPr>
            <w:r w:rsidRPr="00402C37">
              <w:t>63</w:t>
            </w:r>
          </w:p>
        </w:tc>
        <w:tc>
          <w:tcPr>
            <w:tcW w:w="137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797D2848" w14:textId="77777777" w:rsidR="00402C37" w:rsidRPr="00402C37" w:rsidRDefault="00402C37" w:rsidP="00090108">
            <w:pPr>
              <w:pStyle w:val="CDITable-RowCentre"/>
            </w:pPr>
            <w:r w:rsidRPr="00402C37">
              <w:t>359.1</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517F5D4C" w14:textId="77777777" w:rsidR="00402C37" w:rsidRPr="00402C37" w:rsidRDefault="00402C37" w:rsidP="00090108">
            <w:pPr>
              <w:pStyle w:val="CDITable-RowCentre"/>
            </w:pPr>
            <w:r w:rsidRPr="00402C37">
              <w:t>120</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E2B124A" w14:textId="77777777" w:rsidR="00402C37" w:rsidRPr="00402C37" w:rsidRDefault="00402C37" w:rsidP="00090108">
            <w:pPr>
              <w:pStyle w:val="CDITable-RowCentre"/>
            </w:pPr>
            <w:r w:rsidRPr="00402C37">
              <w:t>353.6</w:t>
            </w:r>
          </w:p>
        </w:tc>
      </w:tr>
      <w:tr w:rsidR="00402C37" w:rsidRPr="00402C37" w14:paraId="4D2F064D" w14:textId="77777777" w:rsidTr="00981794">
        <w:trPr>
          <w:divId w:val="935526654"/>
          <w:trHeight w:val="20"/>
        </w:trPr>
        <w:tc>
          <w:tcPr>
            <w:tcW w:w="1377" w:type="dxa"/>
            <w:tcBorders>
              <w:top w:val="single" w:sz="6" w:space="0" w:color="033636" w:themeColor="text2"/>
              <w:bottom w:val="single" w:sz="6" w:space="0" w:color="033636" w:themeColor="text2"/>
            </w:tcBorders>
            <w:shd w:val="clear" w:color="auto" w:fill="FFFFFF" w:themeFill="background1"/>
            <w:tcMar>
              <w:top w:w="113" w:type="dxa"/>
              <w:left w:w="113" w:type="dxa"/>
              <w:bottom w:w="113" w:type="dxa"/>
              <w:right w:w="113" w:type="dxa"/>
            </w:tcMar>
            <w:vAlign w:val="center"/>
          </w:tcPr>
          <w:p w14:paraId="67A1DEE4" w14:textId="77777777" w:rsidR="00402C37" w:rsidRPr="00402C37" w:rsidRDefault="00402C37" w:rsidP="00090108">
            <w:pPr>
              <w:pStyle w:val="CDITable-RowLeft"/>
            </w:pPr>
            <w:r w:rsidRPr="00402C37">
              <w:t>15–19</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7F0B3F5" w14:textId="77777777" w:rsidR="00402C37" w:rsidRPr="00402C37" w:rsidRDefault="00402C37" w:rsidP="00090108">
            <w:pPr>
              <w:pStyle w:val="CDITable-RowCentre"/>
            </w:pPr>
            <w:r w:rsidRPr="00402C37">
              <w:t>75</w:t>
            </w:r>
          </w:p>
        </w:tc>
        <w:tc>
          <w:tcPr>
            <w:tcW w:w="1376"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7834A3C1" w14:textId="77777777" w:rsidR="00402C37" w:rsidRPr="00402C37" w:rsidRDefault="00402C37" w:rsidP="00090108">
            <w:pPr>
              <w:pStyle w:val="CDITable-RowCentre"/>
            </w:pPr>
            <w:r w:rsidRPr="00402C37">
              <w:t>492.1</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167B1695" w14:textId="77777777" w:rsidR="00402C37" w:rsidRPr="00402C37" w:rsidRDefault="00402C37" w:rsidP="00090108">
            <w:pPr>
              <w:pStyle w:val="CDITable-RowCentre"/>
            </w:pPr>
            <w:r w:rsidRPr="00402C37">
              <w:t>54</w:t>
            </w:r>
          </w:p>
        </w:tc>
        <w:tc>
          <w:tcPr>
            <w:tcW w:w="137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0B1E0229" w14:textId="77777777" w:rsidR="00402C37" w:rsidRPr="00402C37" w:rsidRDefault="00402C37" w:rsidP="00090108">
            <w:pPr>
              <w:pStyle w:val="CDITable-RowCentre"/>
            </w:pPr>
            <w:r w:rsidRPr="00402C37">
              <w:t>328.5</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1945A2EF" w14:textId="77777777" w:rsidR="00402C37" w:rsidRPr="00402C37" w:rsidRDefault="00402C37" w:rsidP="00090108">
            <w:pPr>
              <w:pStyle w:val="CDITable-RowCentre"/>
            </w:pPr>
            <w:r w:rsidRPr="00402C37">
              <w:t>129</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F885B9B" w14:textId="77777777" w:rsidR="00402C37" w:rsidRPr="00402C37" w:rsidRDefault="00402C37" w:rsidP="00090108">
            <w:pPr>
              <w:pStyle w:val="CDITable-RowCentre"/>
            </w:pPr>
            <w:r w:rsidRPr="00402C37">
              <w:t>407.2</w:t>
            </w:r>
          </w:p>
        </w:tc>
      </w:tr>
      <w:tr w:rsidR="00402C37" w:rsidRPr="00402C37" w14:paraId="7370F7A3" w14:textId="77777777" w:rsidTr="00981794">
        <w:trPr>
          <w:divId w:val="935526654"/>
          <w:trHeight w:val="20"/>
        </w:trPr>
        <w:tc>
          <w:tcPr>
            <w:tcW w:w="1377" w:type="dxa"/>
            <w:tcBorders>
              <w:top w:val="single" w:sz="6" w:space="0" w:color="033636" w:themeColor="text2"/>
              <w:bottom w:val="single" w:sz="6" w:space="0" w:color="033636" w:themeColor="text2"/>
            </w:tcBorders>
            <w:shd w:val="clear" w:color="auto" w:fill="FFFFFF" w:themeFill="background1"/>
            <w:tcMar>
              <w:top w:w="113" w:type="dxa"/>
              <w:left w:w="113" w:type="dxa"/>
              <w:bottom w:w="113" w:type="dxa"/>
              <w:right w:w="113" w:type="dxa"/>
            </w:tcMar>
            <w:vAlign w:val="center"/>
          </w:tcPr>
          <w:p w14:paraId="20118C45" w14:textId="77777777" w:rsidR="00402C37" w:rsidRPr="00402C37" w:rsidRDefault="00402C37" w:rsidP="00090108">
            <w:pPr>
              <w:pStyle w:val="CDITable-RowLeft"/>
            </w:pPr>
            <w:r w:rsidRPr="00402C37">
              <w:t>20–29</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C3EF3CE" w14:textId="77777777" w:rsidR="00402C37" w:rsidRPr="00402C37" w:rsidRDefault="00402C37" w:rsidP="00090108">
            <w:pPr>
              <w:pStyle w:val="CDITable-RowCentre"/>
            </w:pPr>
            <w:r w:rsidRPr="00402C37">
              <w:t>205</w:t>
            </w:r>
          </w:p>
        </w:tc>
        <w:tc>
          <w:tcPr>
            <w:tcW w:w="1376"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761BFD46" w14:textId="77777777" w:rsidR="00402C37" w:rsidRPr="00402C37" w:rsidRDefault="00402C37" w:rsidP="00090108">
            <w:pPr>
              <w:pStyle w:val="CDITable-RowCentre"/>
            </w:pPr>
            <w:r w:rsidRPr="00402C37">
              <w:t>599.6</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2AD065A9" w14:textId="77777777" w:rsidR="00402C37" w:rsidRPr="00402C37" w:rsidRDefault="00402C37" w:rsidP="00090108">
            <w:pPr>
              <w:pStyle w:val="CDITable-RowCentre"/>
            </w:pPr>
            <w:r w:rsidRPr="00402C37">
              <w:t>92</w:t>
            </w:r>
          </w:p>
        </w:tc>
        <w:tc>
          <w:tcPr>
            <w:tcW w:w="137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17D8C85B" w14:textId="77777777" w:rsidR="00402C37" w:rsidRPr="00402C37" w:rsidRDefault="00402C37" w:rsidP="00090108">
            <w:pPr>
              <w:pStyle w:val="CDITable-RowCentre"/>
            </w:pPr>
            <w:r w:rsidRPr="00402C37">
              <w:t>255.4</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728B1B3B" w14:textId="77777777" w:rsidR="00402C37" w:rsidRPr="00402C37" w:rsidRDefault="00402C37" w:rsidP="00090108">
            <w:pPr>
              <w:pStyle w:val="CDITable-RowCentre"/>
            </w:pPr>
            <w:r w:rsidRPr="00402C37">
              <w:t>297</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DA08DE8" w14:textId="77777777" w:rsidR="00402C37" w:rsidRPr="00402C37" w:rsidRDefault="00402C37" w:rsidP="00090108">
            <w:pPr>
              <w:pStyle w:val="CDITable-RowCentre"/>
            </w:pPr>
            <w:r w:rsidRPr="00402C37">
              <w:t>423.0</w:t>
            </w:r>
          </w:p>
        </w:tc>
      </w:tr>
      <w:tr w:rsidR="00402C37" w:rsidRPr="00402C37" w14:paraId="15CBAB0D" w14:textId="77777777" w:rsidTr="00981794">
        <w:trPr>
          <w:divId w:val="935526654"/>
          <w:trHeight w:val="20"/>
        </w:trPr>
        <w:tc>
          <w:tcPr>
            <w:tcW w:w="1377" w:type="dxa"/>
            <w:tcBorders>
              <w:top w:val="single" w:sz="6" w:space="0" w:color="033636" w:themeColor="text2"/>
              <w:bottom w:val="single" w:sz="6" w:space="0" w:color="033636" w:themeColor="text2"/>
            </w:tcBorders>
            <w:shd w:val="clear" w:color="auto" w:fill="FFFFFF" w:themeFill="background1"/>
            <w:tcMar>
              <w:top w:w="113" w:type="dxa"/>
              <w:left w:w="113" w:type="dxa"/>
              <w:bottom w:w="113" w:type="dxa"/>
              <w:right w:w="113" w:type="dxa"/>
            </w:tcMar>
            <w:vAlign w:val="center"/>
          </w:tcPr>
          <w:p w14:paraId="4FD919CE" w14:textId="77777777" w:rsidR="00402C37" w:rsidRPr="00402C37" w:rsidRDefault="00402C37" w:rsidP="00090108">
            <w:pPr>
              <w:pStyle w:val="CDITable-RowLeft"/>
            </w:pPr>
            <w:r w:rsidRPr="00402C37">
              <w:t>30–39</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6BFDBC3" w14:textId="77777777" w:rsidR="00402C37" w:rsidRPr="00402C37" w:rsidRDefault="00402C37" w:rsidP="00090108">
            <w:pPr>
              <w:pStyle w:val="CDITable-RowCentre"/>
            </w:pPr>
            <w:r w:rsidRPr="00402C37">
              <w:t>234</w:t>
            </w:r>
          </w:p>
        </w:tc>
        <w:tc>
          <w:tcPr>
            <w:tcW w:w="1376"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195E9F35" w14:textId="77777777" w:rsidR="00402C37" w:rsidRPr="00402C37" w:rsidRDefault="00402C37" w:rsidP="00090108">
            <w:pPr>
              <w:pStyle w:val="CDITable-RowCentre"/>
            </w:pPr>
            <w:r w:rsidRPr="00402C37">
              <w:t>614.1</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5E0E8626" w14:textId="77777777" w:rsidR="00402C37" w:rsidRPr="00402C37" w:rsidRDefault="00402C37" w:rsidP="00090108">
            <w:pPr>
              <w:pStyle w:val="CDITable-RowCentre"/>
            </w:pPr>
            <w:r w:rsidRPr="00402C37">
              <w:t>118</w:t>
            </w:r>
          </w:p>
        </w:tc>
        <w:tc>
          <w:tcPr>
            <w:tcW w:w="137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6E3D4E19" w14:textId="77777777" w:rsidR="00402C37" w:rsidRPr="00402C37" w:rsidRDefault="00402C37" w:rsidP="00090108">
            <w:pPr>
              <w:pStyle w:val="CDITable-RowCentre"/>
            </w:pPr>
            <w:r w:rsidRPr="00402C37">
              <w:t>308.4</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40E9FD4F" w14:textId="77777777" w:rsidR="00402C37" w:rsidRPr="00402C37" w:rsidRDefault="00402C37" w:rsidP="00090108">
            <w:pPr>
              <w:pStyle w:val="CDITable-RowCentre"/>
            </w:pPr>
            <w:r w:rsidRPr="00402C37">
              <w:t>352</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BA78CA6" w14:textId="77777777" w:rsidR="00402C37" w:rsidRPr="00402C37" w:rsidRDefault="00402C37" w:rsidP="00090108">
            <w:pPr>
              <w:pStyle w:val="CDITable-RowCentre"/>
            </w:pPr>
            <w:r w:rsidRPr="00402C37">
              <w:t>461.0</w:t>
            </w:r>
          </w:p>
        </w:tc>
      </w:tr>
      <w:tr w:rsidR="00402C37" w:rsidRPr="00402C37" w14:paraId="3B03F4E0" w14:textId="77777777" w:rsidTr="00981794">
        <w:trPr>
          <w:divId w:val="935526654"/>
          <w:trHeight w:val="20"/>
        </w:trPr>
        <w:tc>
          <w:tcPr>
            <w:tcW w:w="1377" w:type="dxa"/>
            <w:tcBorders>
              <w:top w:val="single" w:sz="6" w:space="0" w:color="033636" w:themeColor="text2"/>
              <w:bottom w:val="single" w:sz="6" w:space="0" w:color="033636" w:themeColor="text2"/>
            </w:tcBorders>
            <w:shd w:val="clear" w:color="auto" w:fill="FFFFFF" w:themeFill="background1"/>
            <w:tcMar>
              <w:top w:w="113" w:type="dxa"/>
              <w:left w:w="113" w:type="dxa"/>
              <w:bottom w:w="113" w:type="dxa"/>
              <w:right w:w="113" w:type="dxa"/>
            </w:tcMar>
            <w:vAlign w:val="center"/>
          </w:tcPr>
          <w:p w14:paraId="416DD72E" w14:textId="77777777" w:rsidR="00402C37" w:rsidRPr="00402C37" w:rsidRDefault="00402C37" w:rsidP="00090108">
            <w:pPr>
              <w:pStyle w:val="CDITable-RowLeft"/>
            </w:pPr>
            <w:r w:rsidRPr="00402C37">
              <w:t>40–49</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DE4E82A" w14:textId="77777777" w:rsidR="00402C37" w:rsidRPr="00402C37" w:rsidRDefault="00402C37" w:rsidP="00090108">
            <w:pPr>
              <w:pStyle w:val="CDITable-RowCentre"/>
            </w:pPr>
            <w:r w:rsidRPr="00402C37">
              <w:t>144</w:t>
            </w:r>
          </w:p>
        </w:tc>
        <w:tc>
          <w:tcPr>
            <w:tcW w:w="1376"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41AB4EAD" w14:textId="77777777" w:rsidR="00402C37" w:rsidRPr="00402C37" w:rsidRDefault="00402C37" w:rsidP="00090108">
            <w:pPr>
              <w:pStyle w:val="CDITable-RowCentre"/>
            </w:pPr>
            <w:r w:rsidRPr="00402C37">
              <w:t>428.6</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63F61E42" w14:textId="77777777" w:rsidR="00402C37" w:rsidRPr="00402C37" w:rsidRDefault="00402C37" w:rsidP="00090108">
            <w:pPr>
              <w:pStyle w:val="CDITable-RowCentre"/>
            </w:pPr>
            <w:r w:rsidRPr="00402C37">
              <w:t>83</w:t>
            </w:r>
          </w:p>
        </w:tc>
        <w:tc>
          <w:tcPr>
            <w:tcW w:w="137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73F3BAE4" w14:textId="77777777" w:rsidR="00402C37" w:rsidRPr="00402C37" w:rsidRDefault="00402C37" w:rsidP="00090108">
            <w:pPr>
              <w:pStyle w:val="CDITable-RowCentre"/>
            </w:pPr>
            <w:r w:rsidRPr="00402C37">
              <w:t>259.8</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6855B2C3" w14:textId="77777777" w:rsidR="00402C37" w:rsidRPr="00402C37" w:rsidRDefault="00402C37" w:rsidP="00090108">
            <w:pPr>
              <w:pStyle w:val="CDITable-RowCentre"/>
            </w:pPr>
            <w:r w:rsidRPr="00402C37">
              <w:t>227</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AB7DF72" w14:textId="77777777" w:rsidR="00402C37" w:rsidRPr="00402C37" w:rsidRDefault="00402C37" w:rsidP="00090108">
            <w:pPr>
              <w:pStyle w:val="CDITable-RowCentre"/>
            </w:pPr>
            <w:r w:rsidRPr="00402C37">
              <w:t>346.3</w:t>
            </w:r>
          </w:p>
        </w:tc>
      </w:tr>
      <w:tr w:rsidR="00402C37" w:rsidRPr="00402C37" w14:paraId="4C39623A" w14:textId="77777777" w:rsidTr="00981794">
        <w:trPr>
          <w:divId w:val="935526654"/>
          <w:trHeight w:val="20"/>
        </w:trPr>
        <w:tc>
          <w:tcPr>
            <w:tcW w:w="1377" w:type="dxa"/>
            <w:tcBorders>
              <w:top w:val="single" w:sz="6" w:space="0" w:color="033636" w:themeColor="text2"/>
              <w:bottom w:val="single" w:sz="6" w:space="0" w:color="033636" w:themeColor="text2"/>
            </w:tcBorders>
            <w:shd w:val="clear" w:color="auto" w:fill="FFFFFF" w:themeFill="background1"/>
            <w:tcMar>
              <w:top w:w="113" w:type="dxa"/>
              <w:left w:w="113" w:type="dxa"/>
              <w:bottom w:w="113" w:type="dxa"/>
              <w:right w:w="113" w:type="dxa"/>
            </w:tcMar>
            <w:vAlign w:val="center"/>
          </w:tcPr>
          <w:p w14:paraId="21D614C3" w14:textId="77777777" w:rsidR="00402C37" w:rsidRPr="00402C37" w:rsidRDefault="00402C37" w:rsidP="00090108">
            <w:pPr>
              <w:pStyle w:val="CDITable-RowLeft"/>
            </w:pPr>
            <w:r w:rsidRPr="00402C37">
              <w:t>50–59</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CE73915" w14:textId="77777777" w:rsidR="00402C37" w:rsidRPr="00402C37" w:rsidRDefault="00402C37" w:rsidP="00090108">
            <w:pPr>
              <w:pStyle w:val="CDITable-RowCentre"/>
            </w:pPr>
            <w:r w:rsidRPr="00402C37">
              <w:t>188</w:t>
            </w:r>
          </w:p>
        </w:tc>
        <w:tc>
          <w:tcPr>
            <w:tcW w:w="1376"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3D85B5F8" w14:textId="77777777" w:rsidR="00402C37" w:rsidRPr="00402C37" w:rsidRDefault="00402C37" w:rsidP="00090108">
            <w:pPr>
              <w:pStyle w:val="CDITable-RowCentre"/>
            </w:pPr>
            <w:r w:rsidRPr="00402C37">
              <w:t>497.6</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4DA2AEAE" w14:textId="77777777" w:rsidR="00402C37" w:rsidRPr="00402C37" w:rsidRDefault="00402C37" w:rsidP="00090108">
            <w:pPr>
              <w:pStyle w:val="CDITable-RowCentre"/>
            </w:pPr>
            <w:r w:rsidRPr="00402C37">
              <w:t>104</w:t>
            </w:r>
          </w:p>
        </w:tc>
        <w:tc>
          <w:tcPr>
            <w:tcW w:w="137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75141CE7" w14:textId="77777777" w:rsidR="00402C37" w:rsidRPr="00402C37" w:rsidRDefault="00402C37" w:rsidP="00090108">
            <w:pPr>
              <w:pStyle w:val="CDITable-RowCentre"/>
            </w:pPr>
            <w:r w:rsidRPr="00402C37">
              <w:t>291.3</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1FA5C600" w14:textId="77777777" w:rsidR="00402C37" w:rsidRPr="00402C37" w:rsidRDefault="00402C37" w:rsidP="00090108">
            <w:pPr>
              <w:pStyle w:val="CDITable-RowCentre"/>
            </w:pPr>
            <w:r w:rsidRPr="00402C37">
              <w:t>292</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5A9C00C" w14:textId="77777777" w:rsidR="00402C37" w:rsidRPr="00402C37" w:rsidRDefault="00402C37" w:rsidP="00090108">
            <w:pPr>
              <w:pStyle w:val="CDITable-RowCentre"/>
            </w:pPr>
            <w:r w:rsidRPr="00402C37">
              <w:t>397.3</w:t>
            </w:r>
          </w:p>
        </w:tc>
      </w:tr>
      <w:tr w:rsidR="00402C37" w:rsidRPr="00402C37" w14:paraId="7C7F6DA8" w14:textId="77777777" w:rsidTr="00981794">
        <w:trPr>
          <w:divId w:val="935526654"/>
          <w:trHeight w:val="20"/>
        </w:trPr>
        <w:tc>
          <w:tcPr>
            <w:tcW w:w="1377" w:type="dxa"/>
            <w:tcBorders>
              <w:top w:val="single" w:sz="6" w:space="0" w:color="033636" w:themeColor="text2"/>
              <w:bottom w:val="single" w:sz="6" w:space="0" w:color="033636" w:themeColor="text2"/>
            </w:tcBorders>
            <w:shd w:val="clear" w:color="auto" w:fill="FFFFFF" w:themeFill="background1"/>
            <w:tcMar>
              <w:top w:w="113" w:type="dxa"/>
              <w:left w:w="113" w:type="dxa"/>
              <w:bottom w:w="113" w:type="dxa"/>
              <w:right w:w="113" w:type="dxa"/>
            </w:tcMar>
            <w:vAlign w:val="center"/>
          </w:tcPr>
          <w:p w14:paraId="507A2B0E" w14:textId="77777777" w:rsidR="00402C37" w:rsidRPr="00402C37" w:rsidRDefault="00402C37" w:rsidP="00090108">
            <w:pPr>
              <w:pStyle w:val="CDITable-RowLeft"/>
            </w:pPr>
            <w:r w:rsidRPr="00402C37">
              <w:t>60–69</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9D285B5" w14:textId="77777777" w:rsidR="00402C37" w:rsidRPr="00402C37" w:rsidRDefault="00402C37" w:rsidP="00090108">
            <w:pPr>
              <w:pStyle w:val="CDITable-RowCentre"/>
            </w:pPr>
            <w:r w:rsidRPr="00402C37">
              <w:t>172</w:t>
            </w:r>
          </w:p>
        </w:tc>
        <w:tc>
          <w:tcPr>
            <w:tcW w:w="1376"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1C6077DA" w14:textId="77777777" w:rsidR="00402C37" w:rsidRPr="00402C37" w:rsidRDefault="00402C37" w:rsidP="00090108">
            <w:pPr>
              <w:pStyle w:val="CDITable-RowCentre"/>
            </w:pPr>
            <w:r w:rsidRPr="00402C37">
              <w:t>448.4</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3BE2ACDA" w14:textId="77777777" w:rsidR="00402C37" w:rsidRPr="00402C37" w:rsidRDefault="00402C37" w:rsidP="00090108">
            <w:pPr>
              <w:pStyle w:val="CDITable-RowCentre"/>
            </w:pPr>
            <w:r w:rsidRPr="00402C37">
              <w:t>134</w:t>
            </w:r>
          </w:p>
        </w:tc>
        <w:tc>
          <w:tcPr>
            <w:tcW w:w="137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020E0C0E" w14:textId="77777777" w:rsidR="00402C37" w:rsidRPr="00402C37" w:rsidRDefault="00402C37" w:rsidP="00090108">
            <w:pPr>
              <w:pStyle w:val="CDITable-RowCentre"/>
            </w:pPr>
            <w:r w:rsidRPr="00402C37">
              <w:t>368.1</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6FF114EE" w14:textId="77777777" w:rsidR="00402C37" w:rsidRPr="00402C37" w:rsidRDefault="00402C37" w:rsidP="00090108">
            <w:pPr>
              <w:pStyle w:val="CDITable-RowCentre"/>
            </w:pPr>
            <w:r w:rsidRPr="00402C37">
              <w:t>306</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EBCCFE0" w14:textId="77777777" w:rsidR="00402C37" w:rsidRPr="00402C37" w:rsidRDefault="00402C37" w:rsidP="00090108">
            <w:pPr>
              <w:pStyle w:val="CDITable-RowCentre"/>
            </w:pPr>
            <w:r w:rsidRPr="00402C37">
              <w:t>409.3</w:t>
            </w:r>
          </w:p>
        </w:tc>
      </w:tr>
      <w:tr w:rsidR="00402C37" w:rsidRPr="00402C37" w14:paraId="5CEE8054" w14:textId="77777777" w:rsidTr="00981794">
        <w:trPr>
          <w:divId w:val="935526654"/>
          <w:trHeight w:val="20"/>
        </w:trPr>
        <w:tc>
          <w:tcPr>
            <w:tcW w:w="1377" w:type="dxa"/>
            <w:tcBorders>
              <w:top w:val="single" w:sz="6" w:space="0" w:color="033636" w:themeColor="text2"/>
              <w:bottom w:val="single" w:sz="6" w:space="0" w:color="033636" w:themeColor="text2"/>
            </w:tcBorders>
            <w:shd w:val="clear" w:color="auto" w:fill="FFFFFF" w:themeFill="background1"/>
            <w:tcMar>
              <w:top w:w="113" w:type="dxa"/>
              <w:left w:w="113" w:type="dxa"/>
              <w:bottom w:w="113" w:type="dxa"/>
              <w:right w:w="113" w:type="dxa"/>
            </w:tcMar>
            <w:vAlign w:val="center"/>
          </w:tcPr>
          <w:p w14:paraId="3F9EC975" w14:textId="77777777" w:rsidR="00402C37" w:rsidRPr="00402C37" w:rsidRDefault="00402C37" w:rsidP="00090108">
            <w:pPr>
              <w:pStyle w:val="CDITable-RowLeft"/>
            </w:pPr>
            <w:r w:rsidRPr="00402C37">
              <w:t>70–79</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9A3580F" w14:textId="77777777" w:rsidR="00402C37" w:rsidRPr="00402C37" w:rsidRDefault="00402C37" w:rsidP="00090108">
            <w:pPr>
              <w:pStyle w:val="CDITable-RowCentre"/>
            </w:pPr>
            <w:r w:rsidRPr="00402C37">
              <w:t>127</w:t>
            </w:r>
          </w:p>
        </w:tc>
        <w:tc>
          <w:tcPr>
            <w:tcW w:w="1376"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1A760707" w14:textId="77777777" w:rsidR="00402C37" w:rsidRPr="00402C37" w:rsidRDefault="00402C37" w:rsidP="00090108">
            <w:pPr>
              <w:pStyle w:val="CDITable-RowCentre"/>
            </w:pPr>
            <w:r w:rsidRPr="00402C37">
              <w:t>445.9</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3CF84746" w14:textId="77777777" w:rsidR="00402C37" w:rsidRPr="00402C37" w:rsidRDefault="00402C37" w:rsidP="00090108">
            <w:pPr>
              <w:pStyle w:val="CDITable-RowCentre"/>
            </w:pPr>
            <w:r w:rsidRPr="00402C37">
              <w:t>136</w:t>
            </w:r>
          </w:p>
        </w:tc>
        <w:tc>
          <w:tcPr>
            <w:tcW w:w="137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1BD316F5" w14:textId="77777777" w:rsidR="00402C37" w:rsidRPr="00402C37" w:rsidRDefault="00402C37" w:rsidP="00090108">
            <w:pPr>
              <w:pStyle w:val="CDITable-RowCentre"/>
            </w:pPr>
            <w:r w:rsidRPr="00402C37">
              <w:t>504.2</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0C247645" w14:textId="77777777" w:rsidR="00402C37" w:rsidRPr="00402C37" w:rsidRDefault="00402C37" w:rsidP="00090108">
            <w:pPr>
              <w:pStyle w:val="CDITable-RowCentre"/>
            </w:pPr>
            <w:r w:rsidRPr="00402C37">
              <w:t>263</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DD9F08F" w14:textId="77777777" w:rsidR="00402C37" w:rsidRPr="00402C37" w:rsidRDefault="00402C37" w:rsidP="00090108">
            <w:pPr>
              <w:pStyle w:val="CDITable-RowCentre"/>
            </w:pPr>
            <w:r w:rsidRPr="00402C37">
              <w:t>474.2</w:t>
            </w:r>
          </w:p>
        </w:tc>
      </w:tr>
      <w:tr w:rsidR="00402C37" w:rsidRPr="00402C37" w14:paraId="54BE8C57" w14:textId="77777777" w:rsidTr="00981794">
        <w:trPr>
          <w:divId w:val="935526654"/>
          <w:trHeight w:val="20"/>
        </w:trPr>
        <w:tc>
          <w:tcPr>
            <w:tcW w:w="1377" w:type="dxa"/>
            <w:tcBorders>
              <w:top w:val="single" w:sz="6" w:space="0" w:color="033636" w:themeColor="text2"/>
              <w:bottom w:val="single" w:sz="8" w:space="0" w:color="auto"/>
            </w:tcBorders>
            <w:shd w:val="clear" w:color="auto" w:fill="FFFFFF" w:themeFill="background1"/>
            <w:tcMar>
              <w:top w:w="113" w:type="dxa"/>
              <w:left w:w="113" w:type="dxa"/>
              <w:bottom w:w="113" w:type="dxa"/>
              <w:right w:w="113" w:type="dxa"/>
            </w:tcMar>
            <w:vAlign w:val="center"/>
          </w:tcPr>
          <w:p w14:paraId="44BE0363" w14:textId="77777777" w:rsidR="00402C37" w:rsidRPr="00402C37" w:rsidRDefault="00402C37" w:rsidP="00090108">
            <w:pPr>
              <w:pStyle w:val="CDITable-RowLeft"/>
            </w:pPr>
            <w:r w:rsidRPr="00402C37">
              <w:t>80+</w:t>
            </w:r>
          </w:p>
        </w:tc>
        <w:tc>
          <w:tcPr>
            <w:tcW w:w="1377" w:type="dxa"/>
            <w:tcBorders>
              <w:top w:val="single" w:sz="6" w:space="0" w:color="033636" w:themeColor="text2"/>
              <w:bottom w:val="single" w:sz="8" w:space="0" w:color="auto"/>
            </w:tcBorders>
            <w:tcMar>
              <w:top w:w="113" w:type="dxa"/>
              <w:left w:w="113" w:type="dxa"/>
              <w:bottom w:w="113" w:type="dxa"/>
              <w:right w:w="113" w:type="dxa"/>
            </w:tcMar>
            <w:vAlign w:val="center"/>
          </w:tcPr>
          <w:p w14:paraId="4894C3E2" w14:textId="77777777" w:rsidR="00402C37" w:rsidRPr="00402C37" w:rsidRDefault="00402C37" w:rsidP="00090108">
            <w:pPr>
              <w:pStyle w:val="CDITable-RowCentre"/>
            </w:pPr>
            <w:r w:rsidRPr="00402C37">
              <w:t>133</w:t>
            </w:r>
          </w:p>
        </w:tc>
        <w:tc>
          <w:tcPr>
            <w:tcW w:w="1376" w:type="dxa"/>
            <w:tcBorders>
              <w:top w:val="single" w:sz="6" w:space="0" w:color="033636" w:themeColor="text2"/>
              <w:bottom w:val="single" w:sz="8" w:space="0" w:color="auto"/>
              <w:right w:val="single" w:sz="6" w:space="0" w:color="033636" w:themeColor="text2"/>
            </w:tcBorders>
            <w:tcMar>
              <w:top w:w="113" w:type="dxa"/>
              <w:left w:w="113" w:type="dxa"/>
              <w:bottom w:w="113" w:type="dxa"/>
              <w:right w:w="113" w:type="dxa"/>
            </w:tcMar>
            <w:vAlign w:val="center"/>
          </w:tcPr>
          <w:p w14:paraId="0E2B838E" w14:textId="77777777" w:rsidR="00402C37" w:rsidRPr="00402C37" w:rsidRDefault="00402C37" w:rsidP="00090108">
            <w:pPr>
              <w:pStyle w:val="CDITable-RowCentre"/>
            </w:pPr>
            <w:r w:rsidRPr="00402C37">
              <w:t>829.3</w:t>
            </w:r>
          </w:p>
        </w:tc>
        <w:tc>
          <w:tcPr>
            <w:tcW w:w="1377" w:type="dxa"/>
            <w:tcBorders>
              <w:top w:val="single" w:sz="6" w:space="0" w:color="033636" w:themeColor="text2"/>
              <w:left w:val="single" w:sz="6" w:space="0" w:color="033636" w:themeColor="text2"/>
              <w:bottom w:val="single" w:sz="8" w:space="0" w:color="auto"/>
            </w:tcBorders>
            <w:tcMar>
              <w:top w:w="113" w:type="dxa"/>
              <w:left w:w="113" w:type="dxa"/>
              <w:bottom w:w="113" w:type="dxa"/>
              <w:right w:w="113" w:type="dxa"/>
            </w:tcMar>
            <w:vAlign w:val="center"/>
          </w:tcPr>
          <w:p w14:paraId="366298E2" w14:textId="77777777" w:rsidR="00402C37" w:rsidRPr="00402C37" w:rsidRDefault="00402C37" w:rsidP="00090108">
            <w:pPr>
              <w:pStyle w:val="CDITable-RowCentre"/>
            </w:pPr>
            <w:r w:rsidRPr="00402C37">
              <w:t>89</w:t>
            </w:r>
          </w:p>
        </w:tc>
        <w:tc>
          <w:tcPr>
            <w:tcW w:w="1377" w:type="dxa"/>
            <w:tcBorders>
              <w:top w:val="single" w:sz="6" w:space="0" w:color="033636" w:themeColor="text2"/>
              <w:bottom w:val="single" w:sz="8" w:space="0" w:color="auto"/>
              <w:right w:val="single" w:sz="6" w:space="0" w:color="033636" w:themeColor="text2"/>
            </w:tcBorders>
            <w:tcMar>
              <w:top w:w="113" w:type="dxa"/>
              <w:left w:w="113" w:type="dxa"/>
              <w:bottom w:w="113" w:type="dxa"/>
              <w:right w:w="113" w:type="dxa"/>
            </w:tcMar>
            <w:vAlign w:val="center"/>
          </w:tcPr>
          <w:p w14:paraId="7F8FD5B6" w14:textId="77777777" w:rsidR="00402C37" w:rsidRPr="00402C37" w:rsidRDefault="00402C37" w:rsidP="00090108">
            <w:pPr>
              <w:pStyle w:val="CDITable-RowCentre"/>
            </w:pPr>
            <w:r w:rsidRPr="00402C37">
              <w:t>719.0</w:t>
            </w:r>
          </w:p>
        </w:tc>
        <w:tc>
          <w:tcPr>
            <w:tcW w:w="1377" w:type="dxa"/>
            <w:tcBorders>
              <w:top w:val="single" w:sz="6" w:space="0" w:color="033636" w:themeColor="text2"/>
              <w:left w:val="single" w:sz="6" w:space="0" w:color="033636" w:themeColor="text2"/>
              <w:bottom w:val="single" w:sz="8" w:space="0" w:color="auto"/>
            </w:tcBorders>
            <w:tcMar>
              <w:top w:w="113" w:type="dxa"/>
              <w:left w:w="113" w:type="dxa"/>
              <w:bottom w:w="113" w:type="dxa"/>
              <w:right w:w="113" w:type="dxa"/>
            </w:tcMar>
            <w:vAlign w:val="center"/>
          </w:tcPr>
          <w:p w14:paraId="4C06AF7C" w14:textId="77777777" w:rsidR="00402C37" w:rsidRPr="00402C37" w:rsidRDefault="00402C37" w:rsidP="00090108">
            <w:pPr>
              <w:pStyle w:val="CDITable-RowCentre"/>
            </w:pPr>
            <w:r w:rsidRPr="00402C37">
              <w:t>222</w:t>
            </w:r>
          </w:p>
        </w:tc>
        <w:tc>
          <w:tcPr>
            <w:tcW w:w="1377" w:type="dxa"/>
            <w:tcBorders>
              <w:top w:val="single" w:sz="6" w:space="0" w:color="033636" w:themeColor="text2"/>
              <w:bottom w:val="single" w:sz="8" w:space="0" w:color="auto"/>
            </w:tcBorders>
            <w:tcMar>
              <w:top w:w="113" w:type="dxa"/>
              <w:left w:w="113" w:type="dxa"/>
              <w:bottom w:w="113" w:type="dxa"/>
              <w:right w:w="113" w:type="dxa"/>
            </w:tcMar>
            <w:vAlign w:val="center"/>
          </w:tcPr>
          <w:p w14:paraId="3787185D" w14:textId="77777777" w:rsidR="00402C37" w:rsidRPr="00402C37" w:rsidRDefault="00402C37" w:rsidP="00090108">
            <w:pPr>
              <w:pStyle w:val="CDITable-RowCentre"/>
            </w:pPr>
            <w:r w:rsidRPr="00402C37">
              <w:t>781.3</w:t>
            </w:r>
          </w:p>
        </w:tc>
      </w:tr>
      <w:tr w:rsidR="00090108" w:rsidRPr="00402C37" w14:paraId="48CF7AF1" w14:textId="77777777" w:rsidTr="00981794">
        <w:trPr>
          <w:divId w:val="935526654"/>
          <w:trHeight w:val="20"/>
        </w:trPr>
        <w:tc>
          <w:tcPr>
            <w:tcW w:w="1377" w:type="dxa"/>
            <w:tcBorders>
              <w:top w:val="single" w:sz="8" w:space="0" w:color="auto"/>
              <w:bottom w:val="single" w:sz="8" w:space="0" w:color="auto"/>
            </w:tcBorders>
            <w:shd w:val="clear" w:color="auto" w:fill="C5FFEF" w:themeFill="background2" w:themeFillTint="33"/>
            <w:tcMar>
              <w:top w:w="113" w:type="dxa"/>
              <w:left w:w="113" w:type="dxa"/>
              <w:bottom w:w="113" w:type="dxa"/>
              <w:right w:w="113" w:type="dxa"/>
            </w:tcMar>
            <w:vAlign w:val="center"/>
          </w:tcPr>
          <w:p w14:paraId="2D1AB64E" w14:textId="77777777" w:rsidR="00402C37" w:rsidRPr="00402C37" w:rsidRDefault="00402C37" w:rsidP="00090108">
            <w:pPr>
              <w:pStyle w:val="CDITable-TotalRowLeft"/>
            </w:pPr>
            <w:r w:rsidRPr="00402C37">
              <w:t>Total</w:t>
            </w:r>
          </w:p>
        </w:tc>
        <w:tc>
          <w:tcPr>
            <w:tcW w:w="1377" w:type="dxa"/>
            <w:tcBorders>
              <w:top w:val="single" w:sz="8" w:space="0" w:color="auto"/>
              <w:bottom w:val="single" w:sz="8" w:space="0" w:color="auto"/>
            </w:tcBorders>
            <w:shd w:val="clear" w:color="auto" w:fill="C5FFEF" w:themeFill="background2" w:themeFillTint="33"/>
            <w:tcMar>
              <w:top w:w="113" w:type="dxa"/>
              <w:left w:w="113" w:type="dxa"/>
              <w:bottom w:w="113" w:type="dxa"/>
              <w:right w:w="113" w:type="dxa"/>
            </w:tcMar>
            <w:vAlign w:val="center"/>
          </w:tcPr>
          <w:p w14:paraId="74D099DC" w14:textId="77777777" w:rsidR="00402C37" w:rsidRPr="00402C37" w:rsidRDefault="00402C37" w:rsidP="00090108">
            <w:pPr>
              <w:pStyle w:val="CDITable-TotalRowCentre"/>
            </w:pPr>
            <w:r w:rsidRPr="00402C37">
              <w:t>2,378</w:t>
            </w:r>
          </w:p>
        </w:tc>
        <w:tc>
          <w:tcPr>
            <w:tcW w:w="1376" w:type="dxa"/>
            <w:tcBorders>
              <w:top w:val="single" w:sz="8" w:space="0" w:color="auto"/>
              <w:bottom w:val="single" w:sz="8" w:space="0" w:color="auto"/>
              <w:right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01AB90BA" w14:textId="77777777" w:rsidR="00402C37" w:rsidRPr="00402C37" w:rsidRDefault="00402C37" w:rsidP="00090108">
            <w:pPr>
              <w:pStyle w:val="CDITable-TotalRowCentre"/>
            </w:pPr>
            <w:r w:rsidRPr="00402C37">
              <w:t>826.1</w:t>
            </w:r>
          </w:p>
        </w:tc>
        <w:tc>
          <w:tcPr>
            <w:tcW w:w="1377" w:type="dxa"/>
            <w:tcBorders>
              <w:top w:val="single" w:sz="8" w:space="0" w:color="auto"/>
              <w:left w:val="single" w:sz="6" w:space="0" w:color="033636" w:themeColor="text2"/>
              <w:bottom w:val="single" w:sz="8" w:space="0" w:color="auto"/>
            </w:tcBorders>
            <w:shd w:val="clear" w:color="auto" w:fill="C5FFEF" w:themeFill="background2" w:themeFillTint="33"/>
            <w:tcMar>
              <w:top w:w="113" w:type="dxa"/>
              <w:left w:w="113" w:type="dxa"/>
              <w:bottom w:w="113" w:type="dxa"/>
              <w:right w:w="113" w:type="dxa"/>
            </w:tcMar>
            <w:vAlign w:val="center"/>
          </w:tcPr>
          <w:p w14:paraId="2DDBD02A" w14:textId="77777777" w:rsidR="00402C37" w:rsidRPr="00402C37" w:rsidRDefault="00402C37" w:rsidP="00090108">
            <w:pPr>
              <w:pStyle w:val="CDITable-TotalRowCentre"/>
            </w:pPr>
            <w:r w:rsidRPr="00402C37">
              <w:t>2,075</w:t>
            </w:r>
          </w:p>
        </w:tc>
        <w:tc>
          <w:tcPr>
            <w:tcW w:w="1377" w:type="dxa"/>
            <w:tcBorders>
              <w:top w:val="single" w:sz="8" w:space="0" w:color="auto"/>
              <w:bottom w:val="single" w:sz="8" w:space="0" w:color="auto"/>
              <w:right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4CDB59F" w14:textId="77777777" w:rsidR="00402C37" w:rsidRPr="00402C37" w:rsidRDefault="00402C37" w:rsidP="00090108">
            <w:pPr>
              <w:pStyle w:val="CDITable-TotalRowCentre"/>
            </w:pPr>
            <w:r w:rsidRPr="00402C37">
              <w:t>732.8</w:t>
            </w:r>
          </w:p>
        </w:tc>
        <w:tc>
          <w:tcPr>
            <w:tcW w:w="1377" w:type="dxa"/>
            <w:tcBorders>
              <w:top w:val="single" w:sz="8" w:space="0" w:color="auto"/>
              <w:left w:val="single" w:sz="6" w:space="0" w:color="033636" w:themeColor="text2"/>
              <w:bottom w:val="single" w:sz="8" w:space="0" w:color="auto"/>
            </w:tcBorders>
            <w:shd w:val="clear" w:color="auto" w:fill="C5FFEF" w:themeFill="background2" w:themeFillTint="33"/>
            <w:tcMar>
              <w:top w:w="113" w:type="dxa"/>
              <w:left w:w="113" w:type="dxa"/>
              <w:bottom w:w="113" w:type="dxa"/>
              <w:right w:w="113" w:type="dxa"/>
            </w:tcMar>
            <w:vAlign w:val="center"/>
          </w:tcPr>
          <w:p w14:paraId="42BD87DA" w14:textId="77777777" w:rsidR="00402C37" w:rsidRPr="00402C37" w:rsidRDefault="00402C37" w:rsidP="00090108">
            <w:pPr>
              <w:pStyle w:val="CDITable-TotalRowCentre"/>
            </w:pPr>
            <w:r w:rsidRPr="00402C37">
              <w:t>4,453</w:t>
            </w:r>
          </w:p>
        </w:tc>
        <w:tc>
          <w:tcPr>
            <w:tcW w:w="1377" w:type="dxa"/>
            <w:tcBorders>
              <w:top w:val="single" w:sz="8" w:space="0" w:color="auto"/>
              <w:bottom w:val="single" w:sz="8" w:space="0" w:color="auto"/>
            </w:tcBorders>
            <w:shd w:val="clear" w:color="auto" w:fill="C5FFEF" w:themeFill="background2" w:themeFillTint="33"/>
            <w:tcMar>
              <w:top w:w="113" w:type="dxa"/>
              <w:left w:w="113" w:type="dxa"/>
              <w:bottom w:w="113" w:type="dxa"/>
              <w:right w:w="113" w:type="dxa"/>
            </w:tcMar>
            <w:vAlign w:val="center"/>
          </w:tcPr>
          <w:p w14:paraId="7C119008" w14:textId="77777777" w:rsidR="00402C37" w:rsidRPr="00402C37" w:rsidRDefault="00402C37" w:rsidP="00090108">
            <w:pPr>
              <w:pStyle w:val="CDITable-TotalRowCentre"/>
            </w:pPr>
            <w:r w:rsidRPr="00402C37">
              <w:t>779.9</w:t>
            </w:r>
          </w:p>
        </w:tc>
      </w:tr>
    </w:tbl>
    <w:p w14:paraId="76A6CF77" w14:textId="7381A3DD" w:rsidR="00402C37" w:rsidRDefault="00402C37" w:rsidP="00090108">
      <w:pPr>
        <w:pStyle w:val="CDITable-Firstfootnote"/>
        <w:divId w:val="935526654"/>
      </w:pPr>
      <w:r w:rsidRPr="00402C37">
        <w:t>a</w:t>
      </w:r>
      <w:r w:rsidRPr="00402C37">
        <w:tab/>
        <w:t>Excludes 38 cases where sex was either not stated or inadequately described.</w:t>
      </w:r>
    </w:p>
    <w:p w14:paraId="45DAA8C3" w14:textId="0222DDD9" w:rsidR="00402C37" w:rsidRDefault="00090108" w:rsidP="00090108">
      <w:pPr>
        <w:pStyle w:val="CDITable-Title"/>
        <w:divId w:val="935526654"/>
      </w:pPr>
      <w:r w:rsidRPr="00090108">
        <w:lastRenderedPageBreak/>
        <w:t>Figure 1: Number of RSV notifications in persons aged less than 24 months,</w:t>
      </w:r>
      <w:r w:rsidRPr="00090108">
        <w:rPr>
          <w:vertAlign w:val="superscript"/>
        </w:rPr>
        <w:t>a</w:t>
      </w:r>
      <w:r w:rsidRPr="00090108">
        <w:t xml:space="preserve"> Tasmania, 1 July 2022 – 30</w:t>
      </w:r>
      <w:r>
        <w:t> </w:t>
      </w:r>
      <w:r w:rsidRPr="00090108">
        <w:t>June 2023</w:t>
      </w:r>
    </w:p>
    <w:p w14:paraId="42D0B3E4" w14:textId="558A7084" w:rsidR="00090108" w:rsidRDefault="00090108" w:rsidP="00090108">
      <w:pPr>
        <w:pStyle w:val="CDIFigure-Placeholder"/>
        <w:divId w:val="935526654"/>
      </w:pPr>
      <w:r>
        <w:rPr>
          <w:noProof/>
          <w14:ligatures w14:val="none"/>
        </w:rPr>
        <w:drawing>
          <wp:inline distT="0" distB="0" distL="0" distR="0" wp14:anchorId="3B0B6ABE" wp14:editId="47B09312">
            <wp:extent cx="6044964" cy="3452305"/>
            <wp:effectExtent l="0" t="0" r="0" b="0"/>
            <wp:docPr id="1517958964" name="Picture 1" descr="Column chart showing number of RSV notifications in three months age groups for notifications in children aged less than two years by sex. The number of notifications was highest in those aged 9–11 and 12–14 months. The analysis excludes 14 cases where age or sex was either not stated or inadequately descri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958964" name="Picture 1" descr="Column chart showing number of RSV notifications in three months age groups for notifications in children aged less than two years by sex. The number of notifications was highest in those aged 9–11 and 12–14 months. The analysis excludes 14 cases where age or sex was either not stated or inadequately described."/>
                    <pic:cNvPicPr/>
                  </pic:nvPicPr>
                  <pic:blipFill>
                    <a:blip r:embed="rId9">
                      <a:extLst>
                        <a:ext uri="{28A0092B-C50C-407E-A947-70E740481C1C}">
                          <a14:useLocalDpi xmlns:a14="http://schemas.microsoft.com/office/drawing/2010/main" val="0"/>
                        </a:ext>
                      </a:extLst>
                    </a:blip>
                    <a:stretch>
                      <a:fillRect/>
                    </a:stretch>
                  </pic:blipFill>
                  <pic:spPr>
                    <a:xfrm>
                      <a:off x="0" y="0"/>
                      <a:ext cx="6044964" cy="3452305"/>
                    </a:xfrm>
                    <a:prstGeom prst="rect">
                      <a:avLst/>
                    </a:prstGeom>
                  </pic:spPr>
                </pic:pic>
              </a:graphicData>
            </a:graphic>
          </wp:inline>
        </w:drawing>
      </w:r>
    </w:p>
    <w:p w14:paraId="0AD9A7B0" w14:textId="373F7D26" w:rsidR="00090108" w:rsidRDefault="00090108" w:rsidP="00090108">
      <w:pPr>
        <w:pStyle w:val="CDITable-Firstfootnote"/>
        <w:divId w:val="935526654"/>
      </w:pPr>
      <w:r w:rsidRPr="00090108">
        <w:t>a</w:t>
      </w:r>
      <w:r w:rsidRPr="00090108">
        <w:tab/>
        <w:t>Excludes 14 cases where age or sex was either not stated or inadequately described.</w:t>
      </w:r>
    </w:p>
    <w:p w14:paraId="0525C89D" w14:textId="77777777" w:rsidR="00090108" w:rsidRDefault="00090108" w:rsidP="00090108">
      <w:pPr>
        <w:divId w:val="935526654"/>
        <w:rPr>
          <w:lang w:val="en-GB"/>
        </w:rPr>
      </w:pPr>
      <w:r w:rsidRPr="00090108">
        <w:rPr>
          <w:lang w:val="en-GB"/>
        </w:rPr>
        <w:t>There was a seasonal distribution of notifications, with increases seen over the winter and spring months from June to September, with the peak of notifications occurring in August, at 1,479 (Figure 2).</w:t>
      </w:r>
    </w:p>
    <w:p w14:paraId="125C6154" w14:textId="45B7B575" w:rsidR="00090108" w:rsidRDefault="00090108" w:rsidP="00090108">
      <w:pPr>
        <w:pStyle w:val="CDITable-Title"/>
        <w:divId w:val="935526654"/>
      </w:pPr>
      <w:r w:rsidRPr="00090108">
        <w:t>Figure 2: Number of RSV notifications by month, Tasmania, 1 July 2022 – 30 June 2023</w:t>
      </w:r>
    </w:p>
    <w:p w14:paraId="31800E65" w14:textId="14D84D2F" w:rsidR="00090108" w:rsidRDefault="00090108" w:rsidP="00090108">
      <w:pPr>
        <w:pStyle w:val="CDIFigure-Placeholder"/>
        <w:divId w:val="935526654"/>
        <w:rPr>
          <w:lang w:val="en-GB"/>
        </w:rPr>
      </w:pPr>
      <w:r>
        <w:rPr>
          <w:noProof/>
          <w:lang w:val="en-GB"/>
          <w14:ligatures w14:val="none"/>
        </w:rPr>
        <w:drawing>
          <wp:inline distT="0" distB="0" distL="0" distR="0" wp14:anchorId="4915C689" wp14:editId="3772A4E2">
            <wp:extent cx="6022101" cy="3580338"/>
            <wp:effectExtent l="0" t="0" r="0" b="1270"/>
            <wp:docPr id="823521715" name="Picture 2" descr="Column chart showing the epidemic curve of RSV notifications by month. Notifications were highest in August and September at 1,479 and 1,102 notifications respectiv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21715" name="Picture 2" descr="Column chart showing the epidemic curve of RSV notifications by month. Notifications were highest in August and September at 1,479 and 1,102 notifications respectively. "/>
                    <pic:cNvPicPr/>
                  </pic:nvPicPr>
                  <pic:blipFill>
                    <a:blip r:embed="rId10">
                      <a:extLst>
                        <a:ext uri="{28A0092B-C50C-407E-A947-70E740481C1C}">
                          <a14:useLocalDpi xmlns:a14="http://schemas.microsoft.com/office/drawing/2010/main" val="0"/>
                        </a:ext>
                      </a:extLst>
                    </a:blip>
                    <a:stretch>
                      <a:fillRect/>
                    </a:stretch>
                  </pic:blipFill>
                  <pic:spPr>
                    <a:xfrm>
                      <a:off x="0" y="0"/>
                      <a:ext cx="6022101" cy="3580338"/>
                    </a:xfrm>
                    <a:prstGeom prst="rect">
                      <a:avLst/>
                    </a:prstGeom>
                  </pic:spPr>
                </pic:pic>
              </a:graphicData>
            </a:graphic>
          </wp:inline>
        </w:drawing>
      </w:r>
    </w:p>
    <w:p w14:paraId="158DD0FB" w14:textId="04E59B91" w:rsidR="00090108" w:rsidRDefault="00090108" w:rsidP="00090108">
      <w:pPr>
        <w:divId w:val="935526654"/>
        <w:rPr>
          <w:lang w:val="en-GB"/>
        </w:rPr>
      </w:pPr>
      <w:r w:rsidRPr="00090108">
        <w:rPr>
          <w:lang w:val="en-GB"/>
        </w:rPr>
        <w:lastRenderedPageBreak/>
        <w:t>Tasmania is divided into three regions: the North (27% of the population), North-West (21%) and South (52%). The notification rate was highest in the North region, at 1,129 per 100,000 population per year, followed by the South region at 697 per 100,000 population per year then the North-West at 642 per 100,000 population per year. The SEIFA quintile with the highest notification rate was quintile 4, at 1,057 per 100,000 population per year. This was followed by the middle SEIFA quintile, at 854 per 100,000 population per year. The second most disadvantaged SEIFA quintile (quintile 2) had the lowest RSV notification rate (Figure 3).</w:t>
      </w:r>
    </w:p>
    <w:p w14:paraId="10FCF5FE" w14:textId="24563AFB" w:rsidR="004D108D" w:rsidRDefault="004D108D" w:rsidP="004D108D">
      <w:pPr>
        <w:pStyle w:val="CDITable-Title"/>
        <w:divId w:val="935526654"/>
      </w:pPr>
      <w:r w:rsidRPr="004D108D">
        <w:t>Figure 3: Rate of RSV notifications per 100,000 population by Socio-Economic Indexes for Areas (SEIFA) for postcodes, Tasmania, 1 July 2022 – 30 June 2023</w:t>
      </w:r>
    </w:p>
    <w:p w14:paraId="6ABBAC62" w14:textId="526D8F5A" w:rsidR="004D108D" w:rsidRDefault="004D108D" w:rsidP="004D108D">
      <w:pPr>
        <w:pStyle w:val="CDIFigure-Placeholder"/>
        <w:divId w:val="935526654"/>
        <w:rPr>
          <w:lang w:val="en-GB"/>
        </w:rPr>
      </w:pPr>
      <w:r>
        <w:rPr>
          <w:noProof/>
          <w:lang w:val="en-GB"/>
          <w14:ligatures w14:val="none"/>
        </w:rPr>
        <w:drawing>
          <wp:inline distT="0" distB="0" distL="0" distR="0" wp14:anchorId="50215692" wp14:editId="3D305BA4">
            <wp:extent cx="5948939" cy="3461451"/>
            <wp:effectExtent l="0" t="0" r="0" b="5715"/>
            <wp:docPr id="649802879" name="Picture 3" descr="Column chart showing the RSV notification rates by Socio-Economic Indexes for Areas (SEIFA). The second least disadvantaged quintile had the highest rate at 1,056.8 per 100,000 population and the second most advantaged quintile had the lowest rate at 670.9 per 100,000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02879" name="Picture 3" descr="Column chart showing the RSV notification rates by Socio-Economic Indexes for Areas (SEIFA). The second least disadvantaged quintile had the highest rate at 1,056.8 per 100,000 population and the second most advantaged quintile had the lowest rate at 670.9 per 100,000 population."/>
                    <pic:cNvPicPr/>
                  </pic:nvPicPr>
                  <pic:blipFill>
                    <a:blip r:embed="rId11">
                      <a:extLst>
                        <a:ext uri="{28A0092B-C50C-407E-A947-70E740481C1C}">
                          <a14:useLocalDpi xmlns:a14="http://schemas.microsoft.com/office/drawing/2010/main" val="0"/>
                        </a:ext>
                      </a:extLst>
                    </a:blip>
                    <a:stretch>
                      <a:fillRect/>
                    </a:stretch>
                  </pic:blipFill>
                  <pic:spPr>
                    <a:xfrm>
                      <a:off x="0" y="0"/>
                      <a:ext cx="5948939" cy="3461451"/>
                    </a:xfrm>
                    <a:prstGeom prst="rect">
                      <a:avLst/>
                    </a:prstGeom>
                  </pic:spPr>
                </pic:pic>
              </a:graphicData>
            </a:graphic>
          </wp:inline>
        </w:drawing>
      </w:r>
    </w:p>
    <w:p w14:paraId="7AE2672F" w14:textId="061A6D67" w:rsidR="004D108D" w:rsidRDefault="00090108" w:rsidP="004D108D">
      <w:pPr>
        <w:rPr>
          <w:lang w:val="en-GB"/>
        </w:rPr>
      </w:pPr>
      <w:r w:rsidRPr="00090108">
        <w:rPr>
          <w:lang w:val="en-GB"/>
        </w:rPr>
        <w:t>Data completeness was determined for 15 data fields that required data entry (Table 2). Of these, there was greater than 98% completeness for most person, place and time variables, but low completeness for hospitalisation (1.6%), Indigenous status (1.7%), death status (0.1%), place of acquisition (0.0%) and onset date (0.0%). Vaccination fields had no data, as vaccination had not commenced in Australia.</w:t>
      </w:r>
      <w:r w:rsidR="004D108D">
        <w:rPr>
          <w:lang w:val="en-GB"/>
        </w:rPr>
        <w:br w:type="page"/>
      </w:r>
    </w:p>
    <w:p w14:paraId="13529A0E" w14:textId="1FF073C3" w:rsidR="00090108" w:rsidRDefault="004D108D" w:rsidP="004D108D">
      <w:pPr>
        <w:pStyle w:val="CDITable-Title"/>
        <w:divId w:val="935526654"/>
      </w:pPr>
      <w:r w:rsidRPr="004D108D">
        <w:lastRenderedPageBreak/>
        <w:t>Table 2: Data completeness (%) of RSV notifications, Tasmania, 1 July 2022 – 30 June 2023</w:t>
      </w:r>
    </w:p>
    <w:tbl>
      <w:tblPr>
        <w:tblW w:w="0" w:type="auto"/>
        <w:tblLayout w:type="fixed"/>
        <w:tblCellMar>
          <w:left w:w="0" w:type="dxa"/>
          <w:right w:w="0" w:type="dxa"/>
        </w:tblCellMar>
        <w:tblLook w:val="0000" w:firstRow="0" w:lastRow="0" w:firstColumn="0" w:lastColumn="0" w:noHBand="0" w:noVBand="0"/>
        <w:tblCaption w:val="Table 2: Data completeness (%) of RSV notifications, Tasmania, 1 July 2022 – 30 June 2023"/>
        <w:tblDescription w:val="Table 2 shows the level of completeness for 15 data fields across the RSV notifications recorded for the study period. Completeness was high (consistently &gt; 98%) for fields associated with age, sex, specimen collection date and residential address, but was low (consistently &lt; 2%) for fields reporting Indigenous status, illness severity (hospitalisation and death status), onset date, place of acquisition and vaccination status."/>
      </w:tblPr>
      <w:tblGrid>
        <w:gridCol w:w="3213"/>
        <w:gridCol w:w="3212"/>
        <w:gridCol w:w="3213"/>
      </w:tblGrid>
      <w:tr w:rsidR="004D108D" w:rsidRPr="004D108D" w14:paraId="267A6960" w14:textId="77777777" w:rsidTr="002E15AA">
        <w:trPr>
          <w:divId w:val="935526654"/>
          <w:trHeight w:val="20"/>
          <w:tblHeader/>
        </w:trPr>
        <w:tc>
          <w:tcPr>
            <w:tcW w:w="3213" w:type="dxa"/>
            <w:shd w:val="clear" w:color="auto" w:fill="033636" w:themeFill="text2"/>
            <w:tcMar>
              <w:top w:w="113" w:type="dxa"/>
              <w:left w:w="113" w:type="dxa"/>
              <w:bottom w:w="113" w:type="dxa"/>
              <w:right w:w="113" w:type="dxa"/>
            </w:tcMar>
            <w:vAlign w:val="bottom"/>
          </w:tcPr>
          <w:p w14:paraId="16FED721" w14:textId="77777777" w:rsidR="004D108D" w:rsidRPr="004D108D" w:rsidRDefault="004D108D" w:rsidP="004D108D">
            <w:pPr>
              <w:pStyle w:val="CDITable-HeaderRowLeft"/>
            </w:pPr>
            <w:r w:rsidRPr="004D108D">
              <w:t>Data field</w:t>
            </w:r>
          </w:p>
        </w:tc>
        <w:tc>
          <w:tcPr>
            <w:tcW w:w="3212" w:type="dxa"/>
            <w:shd w:val="clear" w:color="auto" w:fill="033636" w:themeFill="text2"/>
            <w:tcMar>
              <w:top w:w="113" w:type="dxa"/>
              <w:left w:w="113" w:type="dxa"/>
              <w:bottom w:w="113" w:type="dxa"/>
              <w:right w:w="113" w:type="dxa"/>
            </w:tcMar>
            <w:vAlign w:val="bottom"/>
          </w:tcPr>
          <w:p w14:paraId="498FC329" w14:textId="77777777" w:rsidR="004D108D" w:rsidRPr="004D108D" w:rsidRDefault="004D108D" w:rsidP="004D108D">
            <w:pPr>
              <w:pStyle w:val="CDITable-HeaderRowCentre"/>
            </w:pPr>
            <w:r w:rsidRPr="004D108D">
              <w:t>Number missing</w:t>
            </w:r>
          </w:p>
        </w:tc>
        <w:tc>
          <w:tcPr>
            <w:tcW w:w="3213" w:type="dxa"/>
            <w:shd w:val="clear" w:color="auto" w:fill="033636" w:themeFill="text2"/>
            <w:tcMar>
              <w:top w:w="113" w:type="dxa"/>
              <w:left w:w="113" w:type="dxa"/>
              <w:bottom w:w="113" w:type="dxa"/>
              <w:right w:w="113" w:type="dxa"/>
            </w:tcMar>
            <w:vAlign w:val="bottom"/>
          </w:tcPr>
          <w:p w14:paraId="2B3EE240" w14:textId="77777777" w:rsidR="004D108D" w:rsidRPr="004D108D" w:rsidRDefault="004D108D" w:rsidP="004D108D">
            <w:pPr>
              <w:pStyle w:val="CDITable-HeaderRowCentre"/>
            </w:pPr>
            <w:r w:rsidRPr="004D108D">
              <w:t>Completeness (%)</w:t>
            </w:r>
          </w:p>
        </w:tc>
      </w:tr>
      <w:tr w:rsidR="004D108D" w:rsidRPr="004D108D" w14:paraId="47FB896D" w14:textId="77777777" w:rsidTr="002E15AA">
        <w:trPr>
          <w:divId w:val="935526654"/>
          <w:trHeight w:val="20"/>
        </w:trPr>
        <w:tc>
          <w:tcPr>
            <w:tcW w:w="3213" w:type="dxa"/>
            <w:tcBorders>
              <w:bottom w:val="single" w:sz="6" w:space="0" w:color="033636" w:themeColor="text2"/>
            </w:tcBorders>
            <w:tcMar>
              <w:top w:w="113" w:type="dxa"/>
              <w:left w:w="113" w:type="dxa"/>
              <w:bottom w:w="113" w:type="dxa"/>
              <w:right w:w="113" w:type="dxa"/>
            </w:tcMar>
            <w:vAlign w:val="center"/>
          </w:tcPr>
          <w:p w14:paraId="41293D39" w14:textId="77777777" w:rsidR="004D108D" w:rsidRPr="004D108D" w:rsidRDefault="004D108D" w:rsidP="004D108D">
            <w:pPr>
              <w:pStyle w:val="CDITable-RowLeft"/>
            </w:pPr>
            <w:r w:rsidRPr="004D108D">
              <w:t>State</w:t>
            </w:r>
          </w:p>
        </w:tc>
        <w:tc>
          <w:tcPr>
            <w:tcW w:w="3212" w:type="dxa"/>
            <w:tcBorders>
              <w:bottom w:val="single" w:sz="6" w:space="0" w:color="033636" w:themeColor="text2"/>
            </w:tcBorders>
            <w:tcMar>
              <w:top w:w="113" w:type="dxa"/>
              <w:left w:w="113" w:type="dxa"/>
              <w:bottom w:w="113" w:type="dxa"/>
              <w:right w:w="113" w:type="dxa"/>
            </w:tcMar>
            <w:vAlign w:val="center"/>
          </w:tcPr>
          <w:p w14:paraId="661E9A22" w14:textId="77777777" w:rsidR="004D108D" w:rsidRPr="004D108D" w:rsidRDefault="004D108D" w:rsidP="004D108D">
            <w:pPr>
              <w:pStyle w:val="CDITable-RowCentre"/>
            </w:pPr>
            <w:r w:rsidRPr="004D108D">
              <w:t>0</w:t>
            </w:r>
          </w:p>
        </w:tc>
        <w:tc>
          <w:tcPr>
            <w:tcW w:w="3213" w:type="dxa"/>
            <w:tcBorders>
              <w:bottom w:val="single" w:sz="6" w:space="0" w:color="033636" w:themeColor="text2"/>
            </w:tcBorders>
            <w:tcMar>
              <w:top w:w="113" w:type="dxa"/>
              <w:left w:w="113" w:type="dxa"/>
              <w:bottom w:w="113" w:type="dxa"/>
              <w:right w:w="113" w:type="dxa"/>
            </w:tcMar>
            <w:vAlign w:val="center"/>
          </w:tcPr>
          <w:p w14:paraId="3F0BEFCE" w14:textId="77777777" w:rsidR="004D108D" w:rsidRPr="004D108D" w:rsidRDefault="004D108D" w:rsidP="004D108D">
            <w:pPr>
              <w:pStyle w:val="CDITable-RowCentre"/>
            </w:pPr>
            <w:r w:rsidRPr="004D108D">
              <w:t>100.0</w:t>
            </w:r>
          </w:p>
        </w:tc>
      </w:tr>
      <w:tr w:rsidR="004D108D" w:rsidRPr="004D108D" w14:paraId="572AB4DD" w14:textId="77777777" w:rsidTr="002E15AA">
        <w:trPr>
          <w:divId w:val="935526654"/>
          <w:trHeight w:val="20"/>
        </w:trPr>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7D40167" w14:textId="77777777" w:rsidR="004D108D" w:rsidRPr="004D108D" w:rsidRDefault="004D108D" w:rsidP="004D108D">
            <w:pPr>
              <w:pStyle w:val="CDITable-RowLeft"/>
            </w:pPr>
            <w:r w:rsidRPr="004D108D">
              <w:t>Suburb/town</w:t>
            </w:r>
          </w:p>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B4687FD" w14:textId="77777777" w:rsidR="004D108D" w:rsidRPr="004D108D" w:rsidRDefault="004D108D" w:rsidP="004D108D">
            <w:pPr>
              <w:pStyle w:val="CDITable-RowCentre"/>
            </w:pPr>
            <w:r w:rsidRPr="004D108D">
              <w:t>0</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BDBB7E6" w14:textId="77777777" w:rsidR="004D108D" w:rsidRPr="004D108D" w:rsidRDefault="004D108D" w:rsidP="004D108D">
            <w:pPr>
              <w:pStyle w:val="CDITable-RowCentre"/>
            </w:pPr>
            <w:r w:rsidRPr="004D108D">
              <w:t>100.0</w:t>
            </w:r>
          </w:p>
        </w:tc>
      </w:tr>
      <w:tr w:rsidR="004D108D" w:rsidRPr="004D108D" w14:paraId="1859A64B" w14:textId="77777777" w:rsidTr="002E15AA">
        <w:trPr>
          <w:divId w:val="935526654"/>
          <w:trHeight w:val="20"/>
        </w:trPr>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C6978F9" w14:textId="77777777" w:rsidR="004D108D" w:rsidRPr="004D108D" w:rsidRDefault="004D108D" w:rsidP="004D108D">
            <w:pPr>
              <w:pStyle w:val="CDITable-RowLeft"/>
            </w:pPr>
            <w:r w:rsidRPr="004D108D">
              <w:t>Postcode</w:t>
            </w:r>
          </w:p>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552B782" w14:textId="77777777" w:rsidR="004D108D" w:rsidRPr="004D108D" w:rsidRDefault="004D108D" w:rsidP="004D108D">
            <w:pPr>
              <w:pStyle w:val="CDITable-RowCentre"/>
            </w:pPr>
            <w:r w:rsidRPr="004D108D">
              <w:t>0</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156C1E8" w14:textId="77777777" w:rsidR="004D108D" w:rsidRPr="004D108D" w:rsidRDefault="004D108D" w:rsidP="004D108D">
            <w:pPr>
              <w:pStyle w:val="CDITable-RowCentre"/>
            </w:pPr>
            <w:r w:rsidRPr="004D108D">
              <w:t>100.0</w:t>
            </w:r>
          </w:p>
        </w:tc>
      </w:tr>
      <w:tr w:rsidR="004D108D" w:rsidRPr="004D108D" w14:paraId="4495AB6D" w14:textId="77777777" w:rsidTr="002E15AA">
        <w:trPr>
          <w:divId w:val="935526654"/>
          <w:trHeight w:val="20"/>
        </w:trPr>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24D49E3" w14:textId="77777777" w:rsidR="004D108D" w:rsidRPr="004D108D" w:rsidRDefault="004D108D" w:rsidP="004D108D">
            <w:pPr>
              <w:pStyle w:val="CDITable-RowLeft"/>
            </w:pPr>
            <w:r w:rsidRPr="004D108D">
              <w:t>Age</w:t>
            </w:r>
          </w:p>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A185D9C" w14:textId="77777777" w:rsidR="004D108D" w:rsidRPr="004D108D" w:rsidRDefault="004D108D" w:rsidP="004D108D">
            <w:pPr>
              <w:pStyle w:val="CDITable-RowCentre"/>
            </w:pPr>
            <w:r w:rsidRPr="004D108D">
              <w:t>0</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3CC02D7" w14:textId="77777777" w:rsidR="004D108D" w:rsidRPr="004D108D" w:rsidRDefault="004D108D" w:rsidP="004D108D">
            <w:pPr>
              <w:pStyle w:val="CDITable-RowCentre"/>
            </w:pPr>
            <w:r w:rsidRPr="004D108D">
              <w:t>100.0</w:t>
            </w:r>
          </w:p>
        </w:tc>
      </w:tr>
      <w:tr w:rsidR="004D108D" w:rsidRPr="004D108D" w14:paraId="4E410F20" w14:textId="77777777" w:rsidTr="002E15AA">
        <w:trPr>
          <w:divId w:val="935526654"/>
          <w:trHeight w:val="20"/>
        </w:trPr>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CDE4CB7" w14:textId="77777777" w:rsidR="004D108D" w:rsidRPr="004D108D" w:rsidRDefault="004D108D" w:rsidP="004D108D">
            <w:pPr>
              <w:pStyle w:val="CDITable-RowLeft"/>
            </w:pPr>
            <w:r w:rsidRPr="004D108D">
              <w:t>Specimen collection date</w:t>
            </w:r>
          </w:p>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731D356" w14:textId="77777777" w:rsidR="004D108D" w:rsidRPr="004D108D" w:rsidRDefault="004D108D" w:rsidP="004D108D">
            <w:pPr>
              <w:pStyle w:val="CDITable-RowCentre"/>
            </w:pPr>
            <w:r w:rsidRPr="004D108D">
              <w:t>0</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D854F54" w14:textId="77777777" w:rsidR="004D108D" w:rsidRPr="004D108D" w:rsidRDefault="004D108D" w:rsidP="004D108D">
            <w:pPr>
              <w:pStyle w:val="CDITable-RowCentre"/>
            </w:pPr>
            <w:r w:rsidRPr="004D108D">
              <w:t>100.0</w:t>
            </w:r>
          </w:p>
        </w:tc>
      </w:tr>
      <w:tr w:rsidR="004D108D" w:rsidRPr="004D108D" w14:paraId="5BF8A35C" w14:textId="77777777" w:rsidTr="002E15AA">
        <w:trPr>
          <w:divId w:val="935526654"/>
          <w:trHeight w:val="20"/>
        </w:trPr>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0EE0EA6" w14:textId="77777777" w:rsidR="004D108D" w:rsidRPr="004D108D" w:rsidRDefault="004D108D" w:rsidP="004D108D">
            <w:pPr>
              <w:pStyle w:val="CDITable-RowLeft"/>
            </w:pPr>
            <w:r w:rsidRPr="004D108D">
              <w:t>Case found by</w:t>
            </w:r>
          </w:p>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7B4CFD8" w14:textId="77777777" w:rsidR="004D108D" w:rsidRPr="004D108D" w:rsidRDefault="004D108D" w:rsidP="004D108D">
            <w:pPr>
              <w:pStyle w:val="CDITable-RowCentre"/>
            </w:pPr>
            <w:r w:rsidRPr="004D108D">
              <w:t>14</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E966DA2" w14:textId="77777777" w:rsidR="004D108D" w:rsidRPr="004D108D" w:rsidRDefault="004D108D" w:rsidP="004D108D">
            <w:pPr>
              <w:pStyle w:val="CDITable-RowCentre"/>
            </w:pPr>
            <w:r w:rsidRPr="004D108D">
              <w:t>99.7</w:t>
            </w:r>
          </w:p>
        </w:tc>
      </w:tr>
      <w:tr w:rsidR="004D108D" w:rsidRPr="004D108D" w14:paraId="38824B1D" w14:textId="77777777" w:rsidTr="002E15AA">
        <w:trPr>
          <w:divId w:val="935526654"/>
          <w:trHeight w:val="20"/>
        </w:trPr>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C9FF382" w14:textId="77777777" w:rsidR="004D108D" w:rsidRPr="004D108D" w:rsidRDefault="004D108D" w:rsidP="004D108D">
            <w:pPr>
              <w:pStyle w:val="CDITable-RowLeft"/>
            </w:pPr>
            <w:r w:rsidRPr="004D108D">
              <w:t>Local government area (LGA)</w:t>
            </w:r>
          </w:p>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F4DC26E" w14:textId="77777777" w:rsidR="004D108D" w:rsidRPr="004D108D" w:rsidRDefault="004D108D" w:rsidP="004D108D">
            <w:pPr>
              <w:pStyle w:val="CDITable-RowCentre"/>
            </w:pPr>
            <w:r w:rsidRPr="004D108D">
              <w:t>24</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528C7B4" w14:textId="77777777" w:rsidR="004D108D" w:rsidRPr="004D108D" w:rsidRDefault="004D108D" w:rsidP="004D108D">
            <w:pPr>
              <w:pStyle w:val="CDITable-RowCentre"/>
            </w:pPr>
            <w:r w:rsidRPr="004D108D">
              <w:t>99.5</w:t>
            </w:r>
          </w:p>
        </w:tc>
      </w:tr>
      <w:tr w:rsidR="004D108D" w:rsidRPr="004D108D" w14:paraId="128F080C" w14:textId="77777777" w:rsidTr="002E15AA">
        <w:trPr>
          <w:divId w:val="935526654"/>
          <w:trHeight w:val="20"/>
        </w:trPr>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98861C9" w14:textId="77777777" w:rsidR="004D108D" w:rsidRPr="004D108D" w:rsidRDefault="004D108D" w:rsidP="004D108D">
            <w:pPr>
              <w:pStyle w:val="CDITable-RowLeft"/>
            </w:pPr>
            <w:r w:rsidRPr="004D108D">
              <w:t>Region</w:t>
            </w:r>
          </w:p>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01C5C73" w14:textId="77777777" w:rsidR="004D108D" w:rsidRPr="004D108D" w:rsidRDefault="004D108D" w:rsidP="004D108D">
            <w:pPr>
              <w:pStyle w:val="CDITable-RowCentre"/>
            </w:pPr>
            <w:r w:rsidRPr="004D108D">
              <w:t>24</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B136824" w14:textId="77777777" w:rsidR="004D108D" w:rsidRPr="004D108D" w:rsidRDefault="004D108D" w:rsidP="004D108D">
            <w:pPr>
              <w:pStyle w:val="CDITable-RowCentre"/>
            </w:pPr>
            <w:r w:rsidRPr="004D108D">
              <w:t>99.5</w:t>
            </w:r>
          </w:p>
        </w:tc>
      </w:tr>
      <w:tr w:rsidR="004D108D" w:rsidRPr="004D108D" w14:paraId="0A6A4706" w14:textId="77777777" w:rsidTr="002E15AA">
        <w:trPr>
          <w:divId w:val="935526654"/>
          <w:trHeight w:val="20"/>
        </w:trPr>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434637E" w14:textId="77777777" w:rsidR="004D108D" w:rsidRPr="004D108D" w:rsidRDefault="004D108D" w:rsidP="004D108D">
            <w:pPr>
              <w:pStyle w:val="CDITable-RowLeft"/>
            </w:pPr>
            <w:r w:rsidRPr="004D108D">
              <w:t>Sex</w:t>
            </w:r>
          </w:p>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8D995EA" w14:textId="77777777" w:rsidR="004D108D" w:rsidRPr="004D108D" w:rsidRDefault="004D108D" w:rsidP="004D108D">
            <w:pPr>
              <w:pStyle w:val="CDITable-RowCentre"/>
            </w:pPr>
            <w:r w:rsidRPr="004D108D">
              <w:t>38</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E59143E" w14:textId="77777777" w:rsidR="004D108D" w:rsidRPr="004D108D" w:rsidRDefault="004D108D" w:rsidP="004D108D">
            <w:pPr>
              <w:pStyle w:val="CDITable-RowCentre"/>
            </w:pPr>
            <w:r w:rsidRPr="004D108D">
              <w:t>99.2</w:t>
            </w:r>
          </w:p>
        </w:tc>
      </w:tr>
      <w:tr w:rsidR="004D108D" w:rsidRPr="004D108D" w14:paraId="5DBA8E6B" w14:textId="77777777" w:rsidTr="002E15AA">
        <w:trPr>
          <w:divId w:val="935526654"/>
          <w:trHeight w:val="20"/>
        </w:trPr>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A336302" w14:textId="77777777" w:rsidR="004D108D" w:rsidRPr="004D108D" w:rsidRDefault="004D108D" w:rsidP="004D108D">
            <w:pPr>
              <w:pStyle w:val="CDITable-RowLeft"/>
            </w:pPr>
            <w:r w:rsidRPr="004D108D">
              <w:t>Indigenous status</w:t>
            </w:r>
          </w:p>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06A158D" w14:textId="77777777" w:rsidR="004D108D" w:rsidRPr="004D108D" w:rsidRDefault="004D108D" w:rsidP="004D108D">
            <w:pPr>
              <w:pStyle w:val="CDITable-RowCentre"/>
            </w:pPr>
            <w:r w:rsidRPr="004D108D">
              <w:t>4,414</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0C9832F" w14:textId="77777777" w:rsidR="004D108D" w:rsidRPr="004D108D" w:rsidRDefault="004D108D" w:rsidP="004D108D">
            <w:pPr>
              <w:pStyle w:val="CDITable-RowCentre"/>
            </w:pPr>
            <w:r w:rsidRPr="004D108D">
              <w:t>1.7</w:t>
            </w:r>
          </w:p>
        </w:tc>
      </w:tr>
      <w:tr w:rsidR="004D108D" w:rsidRPr="004D108D" w14:paraId="74DE6AE0" w14:textId="77777777" w:rsidTr="002E15AA">
        <w:trPr>
          <w:divId w:val="935526654"/>
          <w:trHeight w:val="20"/>
        </w:trPr>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8F691BC" w14:textId="77777777" w:rsidR="004D108D" w:rsidRPr="004D108D" w:rsidRDefault="004D108D" w:rsidP="004D108D">
            <w:pPr>
              <w:pStyle w:val="CDITable-RowLeft"/>
            </w:pPr>
            <w:r w:rsidRPr="004D108D">
              <w:t>Hospitalised</w:t>
            </w:r>
          </w:p>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641C499" w14:textId="77777777" w:rsidR="004D108D" w:rsidRPr="004D108D" w:rsidRDefault="004D108D" w:rsidP="004D108D">
            <w:pPr>
              <w:pStyle w:val="CDITable-RowCentre"/>
            </w:pPr>
            <w:r w:rsidRPr="004D108D">
              <w:t>4,419</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41FD941" w14:textId="77777777" w:rsidR="004D108D" w:rsidRPr="004D108D" w:rsidRDefault="004D108D" w:rsidP="004D108D">
            <w:pPr>
              <w:pStyle w:val="CDITable-RowCentre"/>
            </w:pPr>
            <w:r w:rsidRPr="004D108D">
              <w:t>1.6</w:t>
            </w:r>
          </w:p>
        </w:tc>
      </w:tr>
      <w:tr w:rsidR="004D108D" w:rsidRPr="004D108D" w14:paraId="1322448C" w14:textId="77777777" w:rsidTr="002E15AA">
        <w:trPr>
          <w:divId w:val="935526654"/>
          <w:trHeight w:val="20"/>
        </w:trPr>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3B71288" w14:textId="77777777" w:rsidR="004D108D" w:rsidRPr="004D108D" w:rsidRDefault="004D108D" w:rsidP="004D108D">
            <w:pPr>
              <w:pStyle w:val="CDITable-RowLeft"/>
            </w:pPr>
            <w:r w:rsidRPr="004D108D">
              <w:t>Death status</w:t>
            </w:r>
          </w:p>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14EA852" w14:textId="77777777" w:rsidR="004D108D" w:rsidRPr="004D108D" w:rsidRDefault="004D108D" w:rsidP="004D108D">
            <w:pPr>
              <w:pStyle w:val="CDITable-RowCentre"/>
            </w:pPr>
            <w:r w:rsidRPr="004D108D">
              <w:t>4,488</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19C457A" w14:textId="77777777" w:rsidR="004D108D" w:rsidRPr="004D108D" w:rsidRDefault="004D108D" w:rsidP="004D108D">
            <w:pPr>
              <w:pStyle w:val="CDITable-RowCentre"/>
            </w:pPr>
            <w:r w:rsidRPr="004D108D">
              <w:t>0.1</w:t>
            </w:r>
          </w:p>
        </w:tc>
      </w:tr>
      <w:tr w:rsidR="004D108D" w:rsidRPr="004D108D" w14:paraId="58850FFB" w14:textId="77777777" w:rsidTr="002E15AA">
        <w:trPr>
          <w:divId w:val="935526654"/>
          <w:trHeight w:val="20"/>
        </w:trPr>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4AC5FA4" w14:textId="77777777" w:rsidR="004D108D" w:rsidRPr="004D108D" w:rsidRDefault="004D108D" w:rsidP="004D108D">
            <w:pPr>
              <w:pStyle w:val="CDITable-RowLeft"/>
            </w:pPr>
            <w:r w:rsidRPr="004D108D">
              <w:t>Onset date</w:t>
            </w:r>
          </w:p>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3DDD393" w14:textId="77777777" w:rsidR="004D108D" w:rsidRPr="004D108D" w:rsidRDefault="004D108D" w:rsidP="004D108D">
            <w:pPr>
              <w:pStyle w:val="CDITable-RowCentre"/>
            </w:pPr>
            <w:r w:rsidRPr="004D108D">
              <w:t>4,490</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00A5C55" w14:textId="77777777" w:rsidR="004D108D" w:rsidRPr="004D108D" w:rsidRDefault="004D108D" w:rsidP="004D108D">
            <w:pPr>
              <w:pStyle w:val="CDITable-RowCentre"/>
            </w:pPr>
            <w:r w:rsidRPr="004D108D">
              <w:t>0.0</w:t>
            </w:r>
          </w:p>
        </w:tc>
      </w:tr>
      <w:tr w:rsidR="004D108D" w:rsidRPr="004D108D" w14:paraId="7138773A" w14:textId="77777777" w:rsidTr="002E15AA">
        <w:trPr>
          <w:divId w:val="935526654"/>
          <w:trHeight w:val="20"/>
        </w:trPr>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3C2E7A1" w14:textId="77777777" w:rsidR="004D108D" w:rsidRPr="004D108D" w:rsidRDefault="004D108D" w:rsidP="004D108D">
            <w:pPr>
              <w:pStyle w:val="CDITable-RowLeft"/>
            </w:pPr>
            <w:r w:rsidRPr="004D108D">
              <w:t>Place of acquisition</w:t>
            </w:r>
          </w:p>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73CBDFD" w14:textId="77777777" w:rsidR="004D108D" w:rsidRPr="004D108D" w:rsidRDefault="004D108D" w:rsidP="004D108D">
            <w:pPr>
              <w:pStyle w:val="CDITable-RowCentre"/>
            </w:pPr>
            <w:r w:rsidRPr="004D108D">
              <w:t>4,490</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0517D16" w14:textId="77777777" w:rsidR="004D108D" w:rsidRPr="004D108D" w:rsidRDefault="004D108D" w:rsidP="004D108D">
            <w:pPr>
              <w:pStyle w:val="CDITable-RowCentre"/>
            </w:pPr>
            <w:r w:rsidRPr="004D108D">
              <w:t>0.0</w:t>
            </w:r>
          </w:p>
        </w:tc>
      </w:tr>
      <w:tr w:rsidR="004D108D" w:rsidRPr="004D108D" w14:paraId="54760640" w14:textId="77777777" w:rsidTr="002E15AA">
        <w:trPr>
          <w:divId w:val="935526654"/>
          <w:trHeight w:val="20"/>
        </w:trPr>
        <w:tc>
          <w:tcPr>
            <w:tcW w:w="3213"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1E42DBCA" w14:textId="77777777" w:rsidR="004D108D" w:rsidRPr="004D108D" w:rsidRDefault="004D108D" w:rsidP="004D108D">
            <w:pPr>
              <w:pStyle w:val="CDITable-RowLeft"/>
            </w:pPr>
            <w:r w:rsidRPr="004D108D">
              <w:t>Vaccinated?</w:t>
            </w:r>
          </w:p>
        </w:tc>
        <w:tc>
          <w:tcPr>
            <w:tcW w:w="321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05F6A7A2" w14:textId="77777777" w:rsidR="004D108D" w:rsidRPr="004D108D" w:rsidRDefault="004D108D" w:rsidP="004D108D">
            <w:pPr>
              <w:pStyle w:val="CDITable-RowCentre"/>
            </w:pPr>
            <w:r w:rsidRPr="004D108D">
              <w:t>4,491</w:t>
            </w:r>
          </w:p>
        </w:tc>
        <w:tc>
          <w:tcPr>
            <w:tcW w:w="3213"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62899DC2" w14:textId="77777777" w:rsidR="004D108D" w:rsidRPr="004D108D" w:rsidRDefault="004D108D" w:rsidP="004D108D">
            <w:pPr>
              <w:pStyle w:val="CDITable-RowCentre"/>
            </w:pPr>
            <w:r w:rsidRPr="004D108D">
              <w:t>0.0</w:t>
            </w:r>
          </w:p>
        </w:tc>
      </w:tr>
      <w:tr w:rsidR="004D108D" w:rsidRPr="004D108D" w14:paraId="4EF34E38" w14:textId="77777777" w:rsidTr="00981794">
        <w:trPr>
          <w:divId w:val="935526654"/>
          <w:trHeight w:val="20"/>
        </w:trPr>
        <w:tc>
          <w:tcPr>
            <w:tcW w:w="3213" w:type="dxa"/>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4EDA98DF" w14:textId="77777777" w:rsidR="004D108D" w:rsidRPr="004D108D" w:rsidRDefault="004D108D" w:rsidP="004D108D">
            <w:pPr>
              <w:pStyle w:val="CDITable-TotalRowLeft"/>
            </w:pPr>
            <w:r w:rsidRPr="004D108D">
              <w:t>Total</w:t>
            </w:r>
          </w:p>
        </w:tc>
        <w:tc>
          <w:tcPr>
            <w:tcW w:w="3212" w:type="dxa"/>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332771C3" w14:textId="77777777" w:rsidR="004D108D" w:rsidRPr="004D108D" w:rsidRDefault="004D108D" w:rsidP="004D108D">
            <w:pPr>
              <w:pStyle w:val="CDITable-TotalRowCentre"/>
            </w:pPr>
            <w:r w:rsidRPr="004D108D">
              <w:t>4,491</w:t>
            </w:r>
          </w:p>
        </w:tc>
        <w:tc>
          <w:tcPr>
            <w:tcW w:w="3213" w:type="dxa"/>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0B441C03" w14:textId="77777777" w:rsidR="004D108D" w:rsidRPr="004D108D" w:rsidRDefault="004D108D" w:rsidP="004D108D">
            <w:pPr>
              <w:pStyle w:val="CDITable-TotalRowCentre"/>
            </w:pPr>
            <w:r w:rsidRPr="004D108D">
              <w:t>—</w:t>
            </w:r>
          </w:p>
        </w:tc>
      </w:tr>
    </w:tbl>
    <w:p w14:paraId="09106E33" w14:textId="62AD711C" w:rsidR="008A0736" w:rsidRDefault="008A0736" w:rsidP="00AC7CD7">
      <w:pPr>
        <w:pStyle w:val="Heading1"/>
        <w:divId w:val="935526654"/>
      </w:pPr>
      <w:r w:rsidRPr="00702D05">
        <w:t>Discussion</w:t>
      </w:r>
      <w:r w:rsidR="002E15AA">
        <w:t xml:space="preserve"> and c</w:t>
      </w:r>
      <w:r w:rsidR="001020EE">
        <w:t>onclusion</w:t>
      </w:r>
      <w:r w:rsidR="002E15AA">
        <w:t>s</w:t>
      </w:r>
    </w:p>
    <w:p w14:paraId="4B988160" w14:textId="77777777" w:rsidR="002E15AA" w:rsidRPr="002E15AA" w:rsidRDefault="002E15AA" w:rsidP="002E15AA">
      <w:pPr>
        <w:divId w:val="935526654"/>
        <w:rPr>
          <w:lang w:val="en-GB"/>
        </w:rPr>
      </w:pPr>
      <w:r w:rsidRPr="002E15AA">
        <w:rPr>
          <w:lang w:val="en-GB"/>
        </w:rPr>
        <w:t>The first year of mandatory notifications of laboratory confirmed cases of RSV in Tasmania between 1 July 2022 and 30 June 2023 was age-specific, with children being the most affected. These results corroborate with previous findings of the significant burden of RSV in children in Australia,</w:t>
      </w:r>
      <w:r w:rsidRPr="002E15AA">
        <w:rPr>
          <w:vertAlign w:val="superscript"/>
          <w:lang w:val="en-GB"/>
        </w:rPr>
        <w:t>8–10</w:t>
      </w:r>
      <w:r w:rsidRPr="002E15AA">
        <w:rPr>
          <w:lang w:val="en-GB"/>
        </w:rPr>
        <w:t xml:space="preserve"> and are consistent with notifications reported nationally in the National Notifiable Disease Surveillance System (NNDSS) dashboard.</w:t>
      </w:r>
      <w:r w:rsidRPr="002E15AA">
        <w:rPr>
          <w:vertAlign w:val="superscript"/>
          <w:lang w:val="en-GB"/>
        </w:rPr>
        <w:footnoteReference w:id="2"/>
      </w:r>
      <w:r w:rsidRPr="002E15AA">
        <w:rPr>
          <w:lang w:val="en-GB"/>
        </w:rPr>
        <w:t xml:space="preserve"> However, the notification rate of RSV in Tasmania, of 779 per 100,000 population during the study period, was higher than that reported on the NNDSS by the other mainland jurisdictions.</w:t>
      </w:r>
    </w:p>
    <w:p w14:paraId="34A81AC4" w14:textId="77777777" w:rsidR="002E15AA" w:rsidRPr="002E15AA" w:rsidRDefault="002E15AA" w:rsidP="002E15AA">
      <w:pPr>
        <w:divId w:val="935526654"/>
        <w:rPr>
          <w:lang w:val="en-GB"/>
        </w:rPr>
      </w:pPr>
      <w:r w:rsidRPr="002E15AA">
        <w:rPr>
          <w:lang w:val="en-GB"/>
        </w:rPr>
        <w:t xml:space="preserve">There were RSV notifications year-round in Tasmania; however, there was an increase during the winter and early spring months. It is difficult to assess whether this was a typical temporal distribution for RSV in Tasmania, as the study was limited to the first year of notifications only. Additionally, the seasonality of RSV is likely to be affected by the recent COVID-19 pandemic. </w:t>
      </w:r>
    </w:p>
    <w:p w14:paraId="30179158" w14:textId="77777777" w:rsidR="002E15AA" w:rsidRPr="002E15AA" w:rsidRDefault="002E15AA" w:rsidP="002E15AA">
      <w:pPr>
        <w:divId w:val="935526654"/>
        <w:rPr>
          <w:lang w:val="en-GB"/>
        </w:rPr>
      </w:pPr>
      <w:r w:rsidRPr="002E15AA">
        <w:rPr>
          <w:lang w:val="en-GB"/>
        </w:rPr>
        <w:lastRenderedPageBreak/>
        <w:t xml:space="preserve">The highest notification rates in Tasmania were found in the North region and in middle SEIFA quintiles, as determined at the postcode level. This may reflect testing practices in these areas. </w:t>
      </w:r>
    </w:p>
    <w:p w14:paraId="132FA308" w14:textId="77777777" w:rsidR="002E15AA" w:rsidRPr="002E15AA" w:rsidRDefault="002E15AA" w:rsidP="002E15AA">
      <w:pPr>
        <w:divId w:val="935526654"/>
        <w:rPr>
          <w:lang w:val="en-GB"/>
        </w:rPr>
      </w:pPr>
      <w:r w:rsidRPr="002E15AA">
        <w:rPr>
          <w:lang w:val="en-GB"/>
        </w:rPr>
        <w:t>Assessing the data quality of RSV notifications, through measuring completeness of the data, emphasised that the existing passive surveillance system was ready to receive these new RSV notifications from laboratory diagnoses. Most of the pertinent data fields had completeness higher than 98%. Those with lower completeness, such as Aboriginal or Torres Strait Islander status, vaccination status and hospitalisation status, are fields not routinely included in laboratory request forms, and are therefore unable to be included in laboratory notifications. By using passive surveillance data, this study assesses disease activity; it is not able to assess disease severity. Passive surveillance is also limited to those RSV cases that seek healthcare and are tested, with this under-ascertainment resulting in an underestimation of the true burden of RSV in Tasmania.</w:t>
      </w:r>
      <w:r w:rsidRPr="002E15AA">
        <w:rPr>
          <w:vertAlign w:val="superscript"/>
          <w:lang w:val="en-GB"/>
        </w:rPr>
        <w:t>11</w:t>
      </w:r>
      <w:r w:rsidRPr="002E15AA">
        <w:rPr>
          <w:lang w:val="en-GB"/>
        </w:rPr>
        <w:t xml:space="preserve"> </w:t>
      </w:r>
    </w:p>
    <w:p w14:paraId="2BE87A8E" w14:textId="77777777" w:rsidR="002E15AA" w:rsidRPr="002E15AA" w:rsidRDefault="002E15AA" w:rsidP="002E15AA">
      <w:pPr>
        <w:divId w:val="935526654"/>
        <w:rPr>
          <w:lang w:val="en-GB"/>
        </w:rPr>
      </w:pPr>
      <w:r w:rsidRPr="002E15AA">
        <w:rPr>
          <w:lang w:val="en-GB"/>
        </w:rPr>
        <w:t xml:space="preserve">However, this analysis does provide a baseline of RSV in Tasmania, as it describes RSV epidemiology in the first year of surveillance. Adding RSV to the existing passive surveillance system was a straightforward process and has provided an assessment of disease activity for RSV in Tasmania. Efforts to improve completeness of Aboriginality for laboratory based notifiable diseases will be important to characterise the burden of RSV (and other notifiable diseases) in this population. Knowing that notifications were highest in the youngest Tasmanians also contributes further evidence that the target group of a selective immunisation program should be these vulnerable populations. This study also highlights the importance of having robust local and national surveillance to inform immunisation programs. </w:t>
      </w:r>
    </w:p>
    <w:p w14:paraId="6E523F13" w14:textId="77777777" w:rsidR="008A0736" w:rsidRDefault="008A0736" w:rsidP="008A0736">
      <w:pPr>
        <w:pStyle w:val="Heading1"/>
        <w:divId w:val="935526654"/>
      </w:pPr>
      <w:r>
        <w:t>Author details</w:t>
      </w:r>
    </w:p>
    <w:p w14:paraId="6979DB78" w14:textId="77777777" w:rsidR="004C73B2" w:rsidRPr="004C73B2" w:rsidRDefault="004C73B2" w:rsidP="004C73B2">
      <w:pPr>
        <w:divId w:val="935526654"/>
        <w:rPr>
          <w:lang w:val="en-GB"/>
        </w:rPr>
      </w:pPr>
      <w:r w:rsidRPr="004C73B2">
        <w:rPr>
          <w:lang w:val="en-GB"/>
        </w:rPr>
        <w:t>Ms Michelle McPherson,</w:t>
      </w:r>
      <w:r w:rsidRPr="004C73B2">
        <w:rPr>
          <w:vertAlign w:val="superscript"/>
          <w:lang w:val="en-GB"/>
        </w:rPr>
        <w:t>1</w:t>
      </w:r>
      <w:r w:rsidRPr="004C73B2">
        <w:rPr>
          <w:lang w:val="en-GB"/>
        </w:rPr>
        <w:t xml:space="preserve"> </w:t>
      </w:r>
    </w:p>
    <w:p w14:paraId="02E5815C" w14:textId="77777777" w:rsidR="004C73B2" w:rsidRPr="004C73B2" w:rsidRDefault="004C73B2" w:rsidP="004C73B2">
      <w:pPr>
        <w:pStyle w:val="Normal-lessspace"/>
        <w:divId w:val="935526654"/>
      </w:pPr>
      <w:r w:rsidRPr="004C73B2">
        <w:t>Dr Nicola Stephens,</w:t>
      </w:r>
      <w:r w:rsidRPr="004C73B2">
        <w:rPr>
          <w:vertAlign w:val="superscript"/>
        </w:rPr>
        <w:t>1</w:t>
      </w:r>
      <w:r w:rsidRPr="004C73B2">
        <w:t xml:space="preserve"> </w:t>
      </w:r>
    </w:p>
    <w:p w14:paraId="39A05614" w14:textId="77777777" w:rsidR="004C73B2" w:rsidRPr="004C73B2" w:rsidRDefault="004C73B2" w:rsidP="004C73B2">
      <w:pPr>
        <w:pStyle w:val="Normal-lessspace"/>
        <w:divId w:val="935526654"/>
      </w:pPr>
      <w:r w:rsidRPr="004C73B2">
        <w:t>Ms Bhavika Yadav,</w:t>
      </w:r>
      <w:r w:rsidRPr="004C73B2">
        <w:rPr>
          <w:vertAlign w:val="superscript"/>
        </w:rPr>
        <w:t>1</w:t>
      </w:r>
      <w:r w:rsidRPr="004C73B2">
        <w:t xml:space="preserve"> </w:t>
      </w:r>
    </w:p>
    <w:p w14:paraId="571304D3" w14:textId="77777777" w:rsidR="004C73B2" w:rsidRPr="004C73B2" w:rsidRDefault="004C73B2" w:rsidP="004C73B2">
      <w:pPr>
        <w:pStyle w:val="Normal-lessspace"/>
        <w:divId w:val="935526654"/>
      </w:pPr>
      <w:r w:rsidRPr="004C73B2">
        <w:t>Dr Shannon Melody</w:t>
      </w:r>
      <w:r w:rsidRPr="004C73B2">
        <w:rPr>
          <w:vertAlign w:val="superscript"/>
        </w:rPr>
        <w:t>2</w:t>
      </w:r>
    </w:p>
    <w:p w14:paraId="0FACEF0B" w14:textId="77777777" w:rsidR="004C73B2" w:rsidRPr="004C73B2" w:rsidRDefault="004C73B2" w:rsidP="004C73B2">
      <w:pPr>
        <w:pStyle w:val="CDINumberedList1-L1"/>
        <w:divId w:val="935526654"/>
      </w:pPr>
      <w:r w:rsidRPr="004C73B2">
        <w:t xml:space="preserve">Tasmanian School of Medicine, University of Tasmania, Hobart, Tasmania </w:t>
      </w:r>
    </w:p>
    <w:p w14:paraId="785B2B0C" w14:textId="77777777" w:rsidR="004C73B2" w:rsidRPr="004C73B2" w:rsidRDefault="004C73B2" w:rsidP="004C73B2">
      <w:pPr>
        <w:pStyle w:val="CDINumberedList1-L1"/>
        <w:divId w:val="935526654"/>
      </w:pPr>
      <w:r w:rsidRPr="004C73B2">
        <w:t>Public Health Services, Department of Health, Hobart, Tasmania</w:t>
      </w:r>
    </w:p>
    <w:p w14:paraId="1EB550DF" w14:textId="77777777" w:rsidR="00AC7CD7" w:rsidRDefault="00AC7CD7" w:rsidP="00AC7CD7">
      <w:pPr>
        <w:pStyle w:val="Authordetails"/>
        <w:divId w:val="935526654"/>
      </w:pPr>
      <w:r>
        <w:t>Corresponding author</w:t>
      </w:r>
    </w:p>
    <w:p w14:paraId="2E877DF6" w14:textId="77777777" w:rsidR="004C73B2" w:rsidRPr="004C73B2" w:rsidRDefault="004C73B2" w:rsidP="004C73B2">
      <w:pPr>
        <w:divId w:val="935526654"/>
        <w:rPr>
          <w:lang w:val="en-GB"/>
        </w:rPr>
      </w:pPr>
      <w:r w:rsidRPr="004C73B2">
        <w:rPr>
          <w:lang w:val="en-GB"/>
        </w:rPr>
        <w:t xml:space="preserve">Michelle McPherson </w:t>
      </w:r>
    </w:p>
    <w:p w14:paraId="1EF81C9D" w14:textId="77777777" w:rsidR="004C73B2" w:rsidRPr="004C73B2" w:rsidRDefault="004C73B2" w:rsidP="004C73B2">
      <w:pPr>
        <w:pStyle w:val="Normal-lessspace"/>
        <w:divId w:val="935526654"/>
      </w:pPr>
      <w:r w:rsidRPr="004C73B2">
        <w:t>Associate Professor of Public Health, Public Health Programs, Tasmanian School of Medicine, College of Health &amp; Medicine, University of Tasmania, Hobart TAS 7000</w:t>
      </w:r>
    </w:p>
    <w:p w14:paraId="2F6E6922" w14:textId="77777777" w:rsidR="004C73B2" w:rsidRPr="004C73B2" w:rsidRDefault="004C73B2" w:rsidP="004C73B2">
      <w:pPr>
        <w:pStyle w:val="Normal-lessspace"/>
        <w:divId w:val="935526654"/>
      </w:pPr>
      <w:r w:rsidRPr="004C73B2">
        <w:t>Phone: +61 3 6226 4229</w:t>
      </w:r>
    </w:p>
    <w:p w14:paraId="00802C62" w14:textId="40BA250E" w:rsidR="008A0736" w:rsidRPr="007A2D74" w:rsidRDefault="004C73B2" w:rsidP="004C73B2">
      <w:pPr>
        <w:pStyle w:val="Normal-lessspace"/>
        <w:divId w:val="935526654"/>
      </w:pPr>
      <w:r w:rsidRPr="004C73B2">
        <w:t xml:space="preserve">Email: </w:t>
      </w:r>
      <w:hyperlink r:id="rId12" w:history="1">
        <w:r w:rsidRPr="004C73B2">
          <w:rPr>
            <w:rStyle w:val="Hyperlink"/>
          </w:rPr>
          <w:t>michelle.mcpherson@utas.edu.au</w:t>
        </w:r>
      </w:hyperlink>
      <w:r w:rsidR="008A0736" w:rsidRPr="007A2D74">
        <w:br w:type="page"/>
      </w:r>
    </w:p>
    <w:p w14:paraId="50334DC5" w14:textId="77777777" w:rsidR="008A0736" w:rsidRDefault="008A0736" w:rsidP="00122ADA">
      <w:pPr>
        <w:pStyle w:val="Heading1"/>
        <w:divId w:val="935526654"/>
      </w:pPr>
      <w:r>
        <w:lastRenderedPageBreak/>
        <w:t>References</w:t>
      </w:r>
    </w:p>
    <w:p w14:paraId="510834AD" w14:textId="77777777" w:rsidR="004C73B2" w:rsidRPr="004C73B2" w:rsidRDefault="004C73B2" w:rsidP="008E71D5">
      <w:pPr>
        <w:pStyle w:val="CDINumberedList1-L1"/>
        <w:numPr>
          <w:ilvl w:val="0"/>
          <w:numId w:val="34"/>
        </w:numPr>
        <w:divId w:val="935526654"/>
      </w:pPr>
      <w:r w:rsidRPr="004C73B2">
        <w:t xml:space="preserve">Tasmanian State Government Register of Legislation. </w:t>
      </w:r>
      <w:r w:rsidRPr="008E71D5">
        <w:rPr>
          <w:i/>
          <w:iCs/>
        </w:rPr>
        <w:t>Public Health Act 1997</w:t>
      </w:r>
      <w:r w:rsidRPr="004C73B2">
        <w:t xml:space="preserve">. [Legislation.] Hobart: Tasmanian State Government Department of Premier and Cabinet; 24 October 2022. Available from: </w:t>
      </w:r>
      <w:hyperlink r:id="rId13" w:history="1">
        <w:r w:rsidRPr="004C73B2">
          <w:rPr>
            <w:rStyle w:val="Hyperlink"/>
          </w:rPr>
          <w:t>https://www.legislation.tas.gov.au/view/html/inforce/current/act-1997-086</w:t>
        </w:r>
      </w:hyperlink>
      <w:r w:rsidRPr="004C73B2">
        <w:t>.</w:t>
      </w:r>
    </w:p>
    <w:p w14:paraId="42D9A96A" w14:textId="3237C435" w:rsidR="004C73B2" w:rsidRPr="004C73B2" w:rsidRDefault="004C73B2" w:rsidP="004C73B2">
      <w:pPr>
        <w:pStyle w:val="CDINumberedList1-L1"/>
        <w:divId w:val="935526654"/>
      </w:pPr>
      <w:r w:rsidRPr="004C73B2">
        <w:t xml:space="preserve">Esposito S, Abu Raya B, Baraldi E, Flanagan K, Martinon Torres F, Tsolia M et al. RSV prevention in all infants: which is the most preferable strategy? </w:t>
      </w:r>
      <w:r w:rsidRPr="004C73B2">
        <w:rPr>
          <w:i/>
          <w:iCs/>
        </w:rPr>
        <w:t>Front Immunol</w:t>
      </w:r>
      <w:r w:rsidRPr="004C73B2">
        <w:t>. 2022;13:880368. doi:</w:t>
      </w:r>
      <w:r>
        <w:t> </w:t>
      </w:r>
      <w:hyperlink r:id="rId14" w:history="1">
        <w:r w:rsidRPr="004C73B2">
          <w:rPr>
            <w:rStyle w:val="Hyperlink"/>
          </w:rPr>
          <w:t>https://doi.org/10.3389/fimmu.2022.880368</w:t>
        </w:r>
      </w:hyperlink>
      <w:r w:rsidRPr="004C73B2">
        <w:t>.</w:t>
      </w:r>
    </w:p>
    <w:p w14:paraId="33452CD0" w14:textId="77777777" w:rsidR="004C73B2" w:rsidRPr="004C73B2" w:rsidRDefault="004C73B2" w:rsidP="004C73B2">
      <w:pPr>
        <w:pStyle w:val="CDINumberedList1-L1"/>
        <w:divId w:val="935526654"/>
      </w:pPr>
      <w:r w:rsidRPr="004C73B2">
        <w:t xml:space="preserve">Savic M, Penders Y, Shi T, Branche A, Pirçon JY. Respiratory syncytial virus disease burden in adults aged 60 years and older in high-income countries: a systematic literature review and meta-analysis. </w:t>
      </w:r>
      <w:r w:rsidRPr="004C73B2">
        <w:rPr>
          <w:i/>
          <w:iCs/>
        </w:rPr>
        <w:t>Influenza Other Respir Viruses</w:t>
      </w:r>
      <w:r w:rsidRPr="004C73B2">
        <w:t xml:space="preserve">. 2023;17(1):e13031. doi: </w:t>
      </w:r>
      <w:hyperlink r:id="rId15" w:history="1">
        <w:r w:rsidRPr="004C73B2">
          <w:rPr>
            <w:rStyle w:val="Hyperlink"/>
          </w:rPr>
          <w:t>https://doi.org/10.1111/irv.13031</w:t>
        </w:r>
      </w:hyperlink>
      <w:r w:rsidRPr="004C73B2">
        <w:t>.</w:t>
      </w:r>
    </w:p>
    <w:p w14:paraId="7FD4F137" w14:textId="77777777" w:rsidR="004C73B2" w:rsidRPr="004C73B2" w:rsidRDefault="004C73B2" w:rsidP="004C73B2">
      <w:pPr>
        <w:pStyle w:val="CDINumberedList1-L1"/>
        <w:divId w:val="935526654"/>
      </w:pPr>
      <w:r w:rsidRPr="004C73B2">
        <w:t xml:space="preserve">Stiboy E, Chan M, Islam MS, Saravanos GL, Lui K, Jaffe A et al. Variation in clinical practice guidelines for use of palivizumab in preventing severe respiratory syncytial viral (RSV) disease in high-risk infants. </w:t>
      </w:r>
      <w:r w:rsidRPr="004C73B2">
        <w:rPr>
          <w:i/>
          <w:iCs/>
        </w:rPr>
        <w:t>Pediatr Pulmonol</w:t>
      </w:r>
      <w:r w:rsidRPr="004C73B2">
        <w:t xml:space="preserve">. 2023;58(4):1210–20. doi: </w:t>
      </w:r>
      <w:hyperlink r:id="rId16" w:history="1">
        <w:r w:rsidRPr="004C73B2">
          <w:rPr>
            <w:rStyle w:val="Hyperlink"/>
          </w:rPr>
          <w:t>https://doi.org/10.1002/ppul.26324</w:t>
        </w:r>
      </w:hyperlink>
      <w:r w:rsidRPr="004C73B2">
        <w:t>.</w:t>
      </w:r>
    </w:p>
    <w:p w14:paraId="2736BA07" w14:textId="77777777" w:rsidR="004C73B2" w:rsidRPr="004C73B2" w:rsidRDefault="004C73B2" w:rsidP="004C73B2">
      <w:pPr>
        <w:pStyle w:val="CDINumberedList1-L1"/>
        <w:divId w:val="935526654"/>
      </w:pPr>
      <w:r w:rsidRPr="004C73B2">
        <w:t xml:space="preserve">Australian Technical Advisory Group on Immunisation (ATAGI). Australian Immunisation Handbook. [Website.] Canberra: Australian Government Department of Health and Aged Care; 2024. [Accessed on 9 July 2024.] Available from: </w:t>
      </w:r>
      <w:hyperlink r:id="rId17" w:history="1">
        <w:r w:rsidRPr="004C73B2">
          <w:rPr>
            <w:rStyle w:val="Hyperlink"/>
          </w:rPr>
          <w:t>https://immunisationhandbook.health.gov.au/</w:t>
        </w:r>
      </w:hyperlink>
      <w:r w:rsidRPr="004C73B2">
        <w:t xml:space="preserve">. </w:t>
      </w:r>
    </w:p>
    <w:p w14:paraId="798B5982" w14:textId="5D374DA6" w:rsidR="004C73B2" w:rsidRPr="004C73B2" w:rsidRDefault="004C73B2" w:rsidP="004C73B2">
      <w:pPr>
        <w:pStyle w:val="CDINumberedList1-L1"/>
        <w:divId w:val="935526654"/>
      </w:pPr>
      <w:r w:rsidRPr="004C73B2">
        <w:t xml:space="preserve">Farquharson KA, Anthony D, Menzies R, Homaira N. Burden of respiratory syncytial virus disease across the lifespan in Australia and New Zealand: a scoping review. </w:t>
      </w:r>
      <w:r w:rsidRPr="004C73B2">
        <w:rPr>
          <w:i/>
          <w:iCs/>
        </w:rPr>
        <w:t>Public Health</w:t>
      </w:r>
      <w:r w:rsidRPr="004C73B2">
        <w:t>. 2024;226:8–16. doi:</w:t>
      </w:r>
      <w:r>
        <w:t> </w:t>
      </w:r>
      <w:hyperlink r:id="rId18" w:history="1">
        <w:r w:rsidRPr="004C73B2">
          <w:rPr>
            <w:rStyle w:val="Hyperlink"/>
          </w:rPr>
          <w:t>https://doi.org/10.1016/j.puhe.2023.10.031</w:t>
        </w:r>
      </w:hyperlink>
      <w:r w:rsidRPr="004C73B2">
        <w:t>.</w:t>
      </w:r>
    </w:p>
    <w:p w14:paraId="71F5CE8E" w14:textId="77777777" w:rsidR="004C73B2" w:rsidRPr="004C73B2" w:rsidRDefault="004C73B2" w:rsidP="004C73B2">
      <w:pPr>
        <w:pStyle w:val="CDINumberedList1-L1"/>
        <w:divId w:val="935526654"/>
      </w:pPr>
      <w:r w:rsidRPr="004C73B2">
        <w:t xml:space="preserve">Communicable Diseases Network of Australia (CDNA). </w:t>
      </w:r>
      <w:r w:rsidRPr="004C73B2">
        <w:rPr>
          <w:i/>
          <w:iCs/>
        </w:rPr>
        <w:t>Respiratory syncytial virus – Surveillance case definition</w:t>
      </w:r>
      <w:r w:rsidRPr="004C73B2">
        <w:t xml:space="preserve">. Canberra: Australian Government Department of Health and Aged Care; 1 January 2022. [Accessed on 9 July 2024.] Available from: </w:t>
      </w:r>
      <w:hyperlink r:id="rId19" w:history="1">
        <w:r w:rsidRPr="004C73B2">
          <w:rPr>
            <w:rStyle w:val="Hyperlink"/>
          </w:rPr>
          <w:t>https://www.health.gov.au/resources/publications/respiratory-syncytial-virus-surveillance-case-definition</w:t>
        </w:r>
      </w:hyperlink>
      <w:r w:rsidRPr="004C73B2">
        <w:t>.</w:t>
      </w:r>
    </w:p>
    <w:p w14:paraId="7E020103" w14:textId="77777777" w:rsidR="004C73B2" w:rsidRPr="004C73B2" w:rsidRDefault="004C73B2" w:rsidP="004C73B2">
      <w:pPr>
        <w:pStyle w:val="CDINumberedList1-L1"/>
        <w:divId w:val="935526654"/>
      </w:pPr>
      <w:r w:rsidRPr="004C73B2">
        <w:t xml:space="preserve">Brusco NK, Alafaci A, Tuckerman J, Frawley H, Pratt J, Daley AJ et al. The 2018 annual cost burden for children under five years of age hospitalised with respiratory syncytial virus in Australia. </w:t>
      </w:r>
      <w:r w:rsidRPr="004C73B2">
        <w:rPr>
          <w:i/>
          <w:iCs/>
        </w:rPr>
        <w:t>Commun Dis Intell (2018)</w:t>
      </w:r>
      <w:r w:rsidRPr="004C73B2">
        <w:t xml:space="preserve">. 2022;46. doi: </w:t>
      </w:r>
      <w:hyperlink r:id="rId20" w:history="1">
        <w:r w:rsidRPr="004C73B2">
          <w:rPr>
            <w:rStyle w:val="Hyperlink"/>
          </w:rPr>
          <w:t>https://doi.org/10.33321/cdi.2022.46.5</w:t>
        </w:r>
      </w:hyperlink>
      <w:r w:rsidRPr="004C73B2">
        <w:t>.</w:t>
      </w:r>
    </w:p>
    <w:p w14:paraId="2DEDD1CB" w14:textId="77777777" w:rsidR="004C73B2" w:rsidRPr="004C73B2" w:rsidRDefault="004C73B2" w:rsidP="004C73B2">
      <w:pPr>
        <w:pStyle w:val="CDINumberedList1-L1"/>
        <w:divId w:val="935526654"/>
      </w:pPr>
      <w:r w:rsidRPr="004C73B2">
        <w:t xml:space="preserve">Gebremedhin AT, Hogan AB, Blyth CC, Glass K, Moore HC. Developing a prediction model to estimate the true burden of respiratory syncytial virus (RSV) in hospitalised children in Western Australia. </w:t>
      </w:r>
      <w:r w:rsidRPr="004C73B2">
        <w:rPr>
          <w:i/>
          <w:iCs/>
        </w:rPr>
        <w:t>Sci Rep</w:t>
      </w:r>
      <w:r w:rsidRPr="004C73B2">
        <w:t xml:space="preserve">. 2022;12(1):332. doi: </w:t>
      </w:r>
      <w:hyperlink r:id="rId21" w:history="1">
        <w:r w:rsidRPr="004C73B2">
          <w:rPr>
            <w:rStyle w:val="Hyperlink"/>
          </w:rPr>
          <w:t>https://doi.org/10.1038/s41598-021-04080-3</w:t>
        </w:r>
      </w:hyperlink>
      <w:r w:rsidRPr="004C73B2">
        <w:t>.</w:t>
      </w:r>
    </w:p>
    <w:p w14:paraId="17961C69" w14:textId="09D256AB" w:rsidR="004C73B2" w:rsidRPr="004C73B2" w:rsidRDefault="004C73B2" w:rsidP="004C73B2">
      <w:pPr>
        <w:pStyle w:val="CDINumberedList1-L1"/>
        <w:divId w:val="935526654"/>
      </w:pPr>
      <w:r w:rsidRPr="004C73B2">
        <w:t xml:space="preserve">Saravanos GL, Sheel M, Homaira N, Dey A, Brown E, Wang H et al. Respiratory syncytial virus-associated hospitalisations in Australia, 2006–2015. </w:t>
      </w:r>
      <w:r w:rsidRPr="004C73B2">
        <w:rPr>
          <w:i/>
          <w:iCs/>
        </w:rPr>
        <w:t>Med J Aust</w:t>
      </w:r>
      <w:r w:rsidRPr="004C73B2">
        <w:t>. 2019;210(10):447–53. doi:</w:t>
      </w:r>
      <w:r>
        <w:t> </w:t>
      </w:r>
      <w:hyperlink r:id="rId22" w:history="1">
        <w:r w:rsidRPr="004C73B2">
          <w:rPr>
            <w:rStyle w:val="Hyperlink"/>
          </w:rPr>
          <w:t>https://doi.org/10.5694/mja2.50159</w:t>
        </w:r>
      </w:hyperlink>
      <w:r w:rsidRPr="004C73B2">
        <w:t>.</w:t>
      </w:r>
    </w:p>
    <w:p w14:paraId="5ECD245D" w14:textId="20FD2FB2" w:rsidR="00620509" w:rsidRPr="004C73B2" w:rsidRDefault="004C73B2" w:rsidP="00A461B2">
      <w:pPr>
        <w:pStyle w:val="CDINumberedList1-L1"/>
        <w:divId w:val="935526654"/>
      </w:pPr>
      <w:r w:rsidRPr="004C73B2">
        <w:t xml:space="preserve">Gibbons CL, Mangen MJJ, Plass D, Havelaar AH, Brooke RJ, Kramarz P et al. Measuring underreporting and under-ascertainment in infectious disease datasets: a comparison of methods. </w:t>
      </w:r>
      <w:r w:rsidRPr="004C73B2">
        <w:rPr>
          <w:i/>
          <w:iCs/>
        </w:rPr>
        <w:t>BMC Public Health</w:t>
      </w:r>
      <w:r w:rsidRPr="004C73B2">
        <w:t xml:space="preserve">. 2014;14:147. doi: </w:t>
      </w:r>
      <w:hyperlink r:id="rId23" w:history="1">
        <w:r w:rsidRPr="004C73B2">
          <w:rPr>
            <w:rStyle w:val="Hyperlink"/>
          </w:rPr>
          <w:t>https://doi.org/10.1186/1471-2458-14-147</w:t>
        </w:r>
      </w:hyperlink>
      <w:r w:rsidRPr="004C73B2">
        <w:t>.</w:t>
      </w:r>
    </w:p>
    <w:p w14:paraId="7EF8ED0E" w14:textId="77777777" w:rsidR="001A26DD" w:rsidRDefault="001A26DD" w:rsidP="0037146D">
      <w:pPr>
        <w:divId w:val="935526654"/>
        <w:sectPr w:rsidR="001A26DD" w:rsidSect="00690957">
          <w:headerReference w:type="even" r:id="rId24"/>
          <w:headerReference w:type="default" r:id="rId25"/>
          <w:footerReference w:type="even" r:id="rId26"/>
          <w:footerReference w:type="default" r:id="rId27"/>
          <w:headerReference w:type="first" r:id="rId28"/>
          <w:footerReference w:type="first" r:id="rId29"/>
          <w:footnotePr>
            <w:numFmt w:val="lowerRoman"/>
          </w:footnotePr>
          <w:pgSz w:w="11907" w:h="16840" w:code="9"/>
          <w:pgMar w:top="1134" w:right="1134" w:bottom="1304" w:left="1134" w:header="709" w:footer="567" w:gutter="0"/>
          <w:cols w:space="708"/>
          <w:titlePg/>
          <w:docGrid w:linePitch="360"/>
          <w15:footnoteColumns w:val="1"/>
        </w:sectPr>
      </w:pPr>
    </w:p>
    <w:p w14:paraId="2EAB3A28"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B2580D">
          <w:t>2025</w:t>
        </w:r>
      </w:fldSimple>
      <w:r w:rsidRPr="0089025E">
        <w:t xml:space="preserve"> Commonwealth of Australia as represented by the </w:t>
      </w:r>
      <w:r w:rsidR="00602AC1">
        <w:t>Department of Health and Aged Care</w:t>
      </w:r>
    </w:p>
    <w:p w14:paraId="79E2E4F9" w14:textId="77777777" w:rsidR="00DE4482" w:rsidRPr="0089025E" w:rsidRDefault="00DE4482" w:rsidP="00C32715">
      <w:pPr>
        <w:pStyle w:val="CDICopyrighttext-lessspace"/>
      </w:pPr>
      <w:r w:rsidRPr="0089025E">
        <w:t>ISSN: 2209-6051 Online</w:t>
      </w:r>
    </w:p>
    <w:p w14:paraId="10771980" w14:textId="77777777" w:rsidR="00DE4482" w:rsidRDefault="00DE4482" w:rsidP="00C32715">
      <w:pPr>
        <w:pStyle w:val="CDICopyrighttext-lessspace"/>
      </w:pPr>
      <w:r w:rsidRPr="0089025E">
        <w:t>This journal is indexed by Index Medicus and Medline.</w:t>
      </w:r>
    </w:p>
    <w:p w14:paraId="4419EC7C" w14:textId="77777777" w:rsidR="006221DD" w:rsidRPr="0089025E" w:rsidRDefault="006221DD" w:rsidP="00C32715">
      <w:pPr>
        <w:pStyle w:val="CDICopyrightheading"/>
      </w:pPr>
      <w:r>
        <w:t>Creative Commons Licence</w:t>
      </w:r>
    </w:p>
    <w:p w14:paraId="31923899"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hyperlink r:id="rId30" w:history="1">
        <w:r w:rsidR="00EE2F5A" w:rsidRPr="00400985">
          <w:rPr>
            <w:rStyle w:val="Hyperlink"/>
            <w:rFonts w:cstheme="minorHAnsi"/>
          </w:rPr>
          <w:t>https://creativecommons.org/licenses/by-nc-nd/4.0/legalcode</w:t>
        </w:r>
      </w:hyperlink>
      <w:r w:rsidRPr="0089025E">
        <w:t xml:space="preserve"> (Licence). You</w:t>
      </w:r>
      <w:r w:rsidR="006221DD">
        <w:t> </w:t>
      </w:r>
      <w:r w:rsidRPr="0089025E">
        <w:t>must read and understand the Licence before using any material from this publication.</w:t>
      </w:r>
    </w:p>
    <w:bookmarkEnd w:id="0"/>
    <w:p w14:paraId="51922078" w14:textId="77777777" w:rsidR="000705FF" w:rsidRPr="00194A12" w:rsidRDefault="000705FF" w:rsidP="00194A12">
      <w:pPr>
        <w:pStyle w:val="CDICopyrightheading"/>
      </w:pPr>
      <w:r w:rsidRPr="00194A12">
        <w:t>Restrictions</w:t>
      </w:r>
    </w:p>
    <w:p w14:paraId="6DF48218"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582FBF24"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3AC49BA0"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239310E9" w14:textId="77777777" w:rsidR="000705FF" w:rsidRPr="0089025E" w:rsidRDefault="000705FF" w:rsidP="00AC0F5D">
      <w:pPr>
        <w:pStyle w:val="CDICopyrightbullets"/>
      </w:pPr>
      <w:r w:rsidRPr="0089025E">
        <w:t xml:space="preserve">any photographs and images; </w:t>
      </w:r>
    </w:p>
    <w:p w14:paraId="5BFC6E92" w14:textId="77777777" w:rsidR="000705FF" w:rsidRPr="0089025E" w:rsidRDefault="000705FF" w:rsidP="00AC0F5D">
      <w:pPr>
        <w:pStyle w:val="CDICopyrightbullets"/>
      </w:pPr>
      <w:r w:rsidRPr="0089025E">
        <w:t>any signatures; and</w:t>
      </w:r>
    </w:p>
    <w:p w14:paraId="7E2AAC27" w14:textId="77777777" w:rsidR="000705FF" w:rsidRPr="0089025E" w:rsidRDefault="000705FF" w:rsidP="00AC0F5D">
      <w:pPr>
        <w:pStyle w:val="CDICopyrightbullets"/>
      </w:pPr>
      <w:r w:rsidRPr="0089025E">
        <w:t xml:space="preserve">any material belonging to third parties. </w:t>
      </w:r>
    </w:p>
    <w:p w14:paraId="461B618F" w14:textId="77777777" w:rsidR="000F223B" w:rsidRPr="0089025E" w:rsidRDefault="000705FF" w:rsidP="00194A12">
      <w:pPr>
        <w:pStyle w:val="CDICopyrightheading"/>
      </w:pPr>
      <w:r w:rsidRPr="0089025E">
        <w:t>Disclaimer</w:t>
      </w:r>
    </w:p>
    <w:p w14:paraId="237A7B80"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2CE09B18" w14:textId="77777777" w:rsidR="000F223B" w:rsidRPr="0089025E" w:rsidRDefault="000705FF" w:rsidP="00194A12">
      <w:pPr>
        <w:pStyle w:val="CDICopyrightheading"/>
      </w:pPr>
      <w:r w:rsidRPr="0089025E">
        <w:t>Enquiries</w:t>
      </w:r>
    </w:p>
    <w:p w14:paraId="3FAAA709"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hyperlink r:id="rId31" w:history="1">
        <w:r w:rsidR="00EE2F5A" w:rsidRPr="00400985">
          <w:rPr>
            <w:rStyle w:val="Hyperlink"/>
          </w:rPr>
          <w:t>cdi.editor@health.gov.au</w:t>
        </w:r>
      </w:hyperlink>
      <w:r w:rsidR="00863F8D" w:rsidRPr="00863F8D">
        <w:t>.</w:t>
      </w:r>
    </w:p>
    <w:p w14:paraId="10D6CA68" w14:textId="77777777" w:rsidR="000F223B" w:rsidRPr="0089025E" w:rsidRDefault="000705FF" w:rsidP="00194A12">
      <w:pPr>
        <w:pStyle w:val="CDICopyrightheading"/>
      </w:pPr>
      <w:r w:rsidRPr="0089025E">
        <w:t>Communicable Diseases Network Australia</w:t>
      </w:r>
    </w:p>
    <w:p w14:paraId="1B1FABDC" w14:textId="77777777" w:rsidR="00DA2E9E" w:rsidRDefault="000705FF" w:rsidP="00194A12">
      <w:pPr>
        <w:pStyle w:val="CDICopyrighttext"/>
      </w:pPr>
      <w:r w:rsidRPr="0089025E">
        <w:t xml:space="preserve">Communicable Diseases Intelligence contributes to the work of the </w:t>
      </w:r>
      <w:hyperlink r:id="rId32" w:history="1">
        <w:r w:rsidRPr="00C47C8C">
          <w:rPr>
            <w:rStyle w:val="Hyperlink"/>
          </w:rPr>
          <w:t>Communicable Diseases Network Australia</w:t>
        </w:r>
      </w:hyperlink>
      <w:r w:rsidRPr="0089025E">
        <w:t>.</w:t>
      </w:r>
      <w:r w:rsidR="0089025E" w:rsidRPr="0089025E">
        <w:t xml:space="preserve"> </w:t>
      </w:r>
    </w:p>
    <w:p w14:paraId="2910D39E" w14:textId="77777777" w:rsidR="004B0C95" w:rsidRDefault="004B0C95" w:rsidP="004B0C95">
      <w:pPr>
        <w:pStyle w:val="Normal-nospace"/>
      </w:pPr>
    </w:p>
    <w:p w14:paraId="05930CD3"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755FA582"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715D6888"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2780106F"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770342DE" w14:textId="77777777" w:rsidR="00A51E0E" w:rsidRPr="0089025E" w:rsidRDefault="00A51E0E" w:rsidP="00A51E0E">
      <w:pPr>
        <w:pStyle w:val="CDICopyrightheading"/>
      </w:pPr>
      <w:r w:rsidRPr="0089025E">
        <w:t>Submit an Article</w:t>
      </w:r>
    </w:p>
    <w:p w14:paraId="532948F7"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33" w:history="1">
        <w:r w:rsidRPr="004B0C95">
          <w:rPr>
            <w:rStyle w:val="Hyperlink"/>
          </w:rPr>
          <w:t>Information for authors</w:t>
        </w:r>
      </w:hyperlink>
      <w:r>
        <w:t xml:space="preserve"> and details on how to </w:t>
      </w:r>
      <w:hyperlink r:id="rId34" w:anchor="submission_package" w:history="1">
        <w:r w:rsidRPr="004B0C95">
          <w:rPr>
            <w:rStyle w:val="Hyperlink"/>
          </w:rPr>
          <w:t>submit your publication</w:t>
        </w:r>
      </w:hyperlink>
      <w:r>
        <w:t xml:space="preserve"> is available on our </w:t>
      </w:r>
      <w:r w:rsidRPr="004B0C95">
        <w:t>website</w:t>
      </w:r>
      <w:r>
        <w:t xml:space="preserve">, or by email at </w:t>
      </w:r>
      <w:hyperlink r:id="rId35" w:history="1">
        <w:r w:rsidR="00A51E0E" w:rsidRPr="000C6EB5">
          <w:rPr>
            <w:rStyle w:val="Hyperlink"/>
          </w:rPr>
          <w:t>cdi.editor@health.gov.au</w:t>
        </w:r>
      </w:hyperlink>
      <w:r w:rsidR="00863F8D">
        <w:t>.</w:t>
      </w:r>
    </w:p>
    <w:p w14:paraId="71E1118E" w14:textId="77777777" w:rsidR="00DE4482" w:rsidRPr="0089025E" w:rsidRDefault="00A51E0E" w:rsidP="00194A12">
      <w:pPr>
        <w:pStyle w:val="CDICopyrightheading"/>
      </w:pPr>
      <w:r>
        <w:t>Contact us</w:t>
      </w:r>
    </w:p>
    <w:p w14:paraId="626B6F04" w14:textId="77777777" w:rsidR="00863F8D" w:rsidRDefault="00126546" w:rsidP="00863F8D">
      <w:pPr>
        <w:pStyle w:val="CDICopyrighttext-nospace"/>
      </w:pPr>
      <w:r>
        <w:t>Communicable Diseases Intelligence (CDI)</w:t>
      </w:r>
    </w:p>
    <w:p w14:paraId="4E8EE529" w14:textId="77777777" w:rsidR="00863F8D" w:rsidRDefault="00470C19" w:rsidP="00863F8D">
      <w:pPr>
        <w:pStyle w:val="CDICopyrighttext-nospace"/>
      </w:pPr>
      <w:r>
        <w:t>Health Security &amp; Emergency Management Division</w:t>
      </w:r>
    </w:p>
    <w:p w14:paraId="5AFA47A2" w14:textId="77777777" w:rsidR="00863F8D" w:rsidRDefault="00602AC1" w:rsidP="00863F8D">
      <w:pPr>
        <w:pStyle w:val="CDICopyrighttext-nospace"/>
      </w:pPr>
      <w:r>
        <w:t>Department of Health and Aged Care</w:t>
      </w:r>
    </w:p>
    <w:p w14:paraId="4E9B07B7" w14:textId="77777777" w:rsidR="000A5F42" w:rsidRPr="0089025E" w:rsidRDefault="00E54BBD" w:rsidP="00863F8D">
      <w:pPr>
        <w:pStyle w:val="CDICopyrighttext-lessspace"/>
      </w:pPr>
      <w:r w:rsidRPr="0089025E">
        <w:t>GPO Box 9848, CANBERRA ACT 2601</w:t>
      </w:r>
    </w:p>
    <w:p w14:paraId="2C83C69B" w14:textId="77777777" w:rsidR="00863F8D" w:rsidRDefault="00DA2E9E" w:rsidP="00863F8D">
      <w:pPr>
        <w:pStyle w:val="CDICopyrighttext-nospace"/>
      </w:pPr>
      <w:r w:rsidRPr="0089025E">
        <w:t xml:space="preserve">Website: </w:t>
      </w:r>
      <w:hyperlink r:id="rId36" w:history="1">
        <w:r w:rsidR="00AC0F5D" w:rsidRPr="000C6EB5">
          <w:rPr>
            <w:rStyle w:val="Hyperlink"/>
          </w:rPr>
          <w:t>www.health.gov.au/cdi</w:t>
        </w:r>
      </w:hyperlink>
    </w:p>
    <w:p w14:paraId="5666FAF4" w14:textId="77777777" w:rsidR="000A5F42" w:rsidRPr="0089025E" w:rsidRDefault="000A5F42" w:rsidP="00863F8D">
      <w:pPr>
        <w:pStyle w:val="CDICopyrighttext-lessspace"/>
      </w:pPr>
      <w:r w:rsidRPr="0089025E">
        <w:t xml:space="preserve">Email: </w:t>
      </w:r>
      <w:hyperlink r:id="rId37" w:history="1">
        <w:r w:rsidR="00AC0F5D" w:rsidRPr="000C6EB5">
          <w:rPr>
            <w:rStyle w:val="Hyperlink"/>
          </w:rPr>
          <w:t>cdi.editor@health.gov.au</w:t>
        </w:r>
      </w:hyperlink>
    </w:p>
    <w:sectPr w:rsidR="000A5F42" w:rsidRPr="0089025E" w:rsidSect="00690957">
      <w:footerReference w:type="default" r:id="rId38"/>
      <w:footnotePr>
        <w:numFmt w:val="lowerRoman"/>
      </w:footnotePr>
      <w:pgSz w:w="11907" w:h="16840" w:code="9"/>
      <w:pgMar w:top="1134" w:right="1134" w:bottom="1304" w:left="1134" w:header="709" w:footer="567"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5E19A" w14:textId="77777777" w:rsidR="00B2580D" w:rsidRDefault="00B2580D" w:rsidP="00E54DBA">
      <w:r>
        <w:separator/>
      </w:r>
    </w:p>
    <w:p w14:paraId="2DACAD7C" w14:textId="77777777" w:rsidR="00B2580D" w:rsidRDefault="00B2580D"/>
    <w:p w14:paraId="54882E09" w14:textId="77777777" w:rsidR="00B2580D" w:rsidRDefault="00B2580D" w:rsidP="008714B0"/>
  </w:endnote>
  <w:endnote w:type="continuationSeparator" w:id="0">
    <w:p w14:paraId="465FE0D3" w14:textId="77777777" w:rsidR="00B2580D" w:rsidRDefault="00B2580D" w:rsidP="00E54DBA">
      <w:r>
        <w:continuationSeparator/>
      </w:r>
    </w:p>
    <w:p w14:paraId="6740E514" w14:textId="77777777" w:rsidR="00B2580D" w:rsidRDefault="00B2580D"/>
    <w:p w14:paraId="3FA115B8" w14:textId="77777777" w:rsidR="00B2580D" w:rsidRDefault="00B2580D"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0C92" w14:textId="77777777" w:rsidR="00CF52E4" w:rsidRDefault="00CF5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AA79" w14:textId="7BA5EC64"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B2580D">
        <w:t>2025</w:t>
      </w:r>
    </w:fldSimple>
    <w:r w:rsidRPr="001D0612">
      <w:t xml:space="preserve"> </w:t>
    </w:r>
    <w:fldSimple w:instr=" DOCPROPERTY  Vol  \* MERGEFORMAT ">
      <w:r w:rsidR="00B2580D">
        <w:t>49</w:t>
      </w:r>
    </w:fldSimple>
    <w:r w:rsidRPr="001D0612">
      <w:t xml:space="preserve">  (</w:t>
    </w:r>
    <w:fldSimple w:instr=" DOCPROPERTY  DOI  \* MERGEFORMAT ">
      <w:r w:rsidR="005B7DC3">
        <w:t>https://doi.org/10.33321/cdi.2025.49.040</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5B7DC3">
        <w:t>19/05/2025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2D0C" w14:textId="77777777" w:rsidR="00CF52E4" w:rsidRDefault="00CF52E4" w:rsidP="00CF52E4">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B7BA9" w14:textId="6F0C5AC3"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B2580D">
        <w:t>2025</w:t>
      </w:r>
    </w:fldSimple>
    <w:r w:rsidRPr="001D0612">
      <w:t xml:space="preserve"> </w:t>
    </w:r>
    <w:fldSimple w:instr=" DOCPROPERTY  Vol  \* MERGEFORMAT ">
      <w:r w:rsidR="00B2580D">
        <w:t>49</w:t>
      </w:r>
    </w:fldSimple>
    <w:r w:rsidRPr="001D0612">
      <w:t xml:space="preserve">  (</w:t>
    </w:r>
    <w:fldSimple w:instr=" DOCPROPERTY  DOI  \* MERGEFORMAT ">
      <w:r w:rsidR="00402C37">
        <w:t>https://doi.org/10.33321/cdi.2025.49.040</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402C37">
        <w:t>19/05/2025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D9535" w14:textId="77777777" w:rsidR="00B2580D" w:rsidRPr="00B91FB5" w:rsidRDefault="00B2580D" w:rsidP="00DB485B">
      <w:pPr>
        <w:spacing w:after="60" w:line="240" w:lineRule="auto"/>
        <w:rPr>
          <w:sz w:val="18"/>
          <w:szCs w:val="18"/>
        </w:rPr>
      </w:pPr>
      <w:r w:rsidRPr="00B91FB5">
        <w:rPr>
          <w:sz w:val="18"/>
          <w:szCs w:val="18"/>
        </w:rPr>
        <w:separator/>
      </w:r>
    </w:p>
  </w:footnote>
  <w:footnote w:type="continuationSeparator" w:id="0">
    <w:p w14:paraId="07B9964D" w14:textId="77777777" w:rsidR="00B2580D" w:rsidRDefault="00B2580D" w:rsidP="00E54DBA">
      <w:r>
        <w:continuationSeparator/>
      </w:r>
    </w:p>
  </w:footnote>
  <w:footnote w:type="continuationNotice" w:id="1">
    <w:p w14:paraId="0B970F22" w14:textId="77777777" w:rsidR="00B2580D" w:rsidRPr="00224EFF" w:rsidRDefault="00B2580D" w:rsidP="00224EFF"/>
  </w:footnote>
  <w:footnote w:id="2">
    <w:p w14:paraId="5715B544" w14:textId="3F117CCC" w:rsidR="002E15AA" w:rsidRDefault="002E15AA" w:rsidP="002E15AA">
      <w:pPr>
        <w:pStyle w:val="CDIFooter"/>
      </w:pPr>
      <w:r w:rsidRPr="002E15AA">
        <w:footnoteRef/>
      </w:r>
      <w:r>
        <w:tab/>
      </w:r>
      <w:hyperlink r:id="rId1" w:history="1">
        <w:r>
          <w:t>https://nindss.health.gov.au/pbi-dashboard/</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28821" w14:textId="77777777" w:rsidR="00CF52E4" w:rsidRDefault="00CF5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0D1F0" w14:textId="77777777" w:rsidR="00CF52E4" w:rsidRDefault="00CF5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7AAC"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58A53053" wp14:editId="543BB3FF">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 w:numId="34" w16cid:durableId="201872814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0D"/>
    <w:rsid w:val="00000B5B"/>
    <w:rsid w:val="00001611"/>
    <w:rsid w:val="00002B8D"/>
    <w:rsid w:val="00003DE5"/>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0B99"/>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0108"/>
    <w:rsid w:val="000969B3"/>
    <w:rsid w:val="000A26CA"/>
    <w:rsid w:val="000A5F42"/>
    <w:rsid w:val="000C34E2"/>
    <w:rsid w:val="000C3D48"/>
    <w:rsid w:val="000C3FB4"/>
    <w:rsid w:val="000D4B4D"/>
    <w:rsid w:val="000E1322"/>
    <w:rsid w:val="000E6C4C"/>
    <w:rsid w:val="000F223B"/>
    <w:rsid w:val="000F73D7"/>
    <w:rsid w:val="001020EE"/>
    <w:rsid w:val="00110B7D"/>
    <w:rsid w:val="00112E44"/>
    <w:rsid w:val="00113D58"/>
    <w:rsid w:val="001200CB"/>
    <w:rsid w:val="00122ADA"/>
    <w:rsid w:val="00126546"/>
    <w:rsid w:val="001371D9"/>
    <w:rsid w:val="001378A3"/>
    <w:rsid w:val="00146435"/>
    <w:rsid w:val="00153D94"/>
    <w:rsid w:val="00155582"/>
    <w:rsid w:val="00161590"/>
    <w:rsid w:val="00161C85"/>
    <w:rsid w:val="00163BE3"/>
    <w:rsid w:val="001648A8"/>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6248"/>
    <w:rsid w:val="00221481"/>
    <w:rsid w:val="00223F42"/>
    <w:rsid w:val="00224EFF"/>
    <w:rsid w:val="002276DC"/>
    <w:rsid w:val="00227E00"/>
    <w:rsid w:val="002307CB"/>
    <w:rsid w:val="00231046"/>
    <w:rsid w:val="00234F21"/>
    <w:rsid w:val="00236A5F"/>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2EF9"/>
    <w:rsid w:val="00284E4A"/>
    <w:rsid w:val="002941DE"/>
    <w:rsid w:val="002A3799"/>
    <w:rsid w:val="002A3BCC"/>
    <w:rsid w:val="002A4516"/>
    <w:rsid w:val="002A569F"/>
    <w:rsid w:val="002A5B2C"/>
    <w:rsid w:val="002A7066"/>
    <w:rsid w:val="002B001E"/>
    <w:rsid w:val="002B09B7"/>
    <w:rsid w:val="002B493C"/>
    <w:rsid w:val="002B75A9"/>
    <w:rsid w:val="002C21B0"/>
    <w:rsid w:val="002C3003"/>
    <w:rsid w:val="002C5D55"/>
    <w:rsid w:val="002E15AA"/>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2A88"/>
    <w:rsid w:val="00381A0F"/>
    <w:rsid w:val="00381E8E"/>
    <w:rsid w:val="00390F66"/>
    <w:rsid w:val="00392D07"/>
    <w:rsid w:val="00393B4D"/>
    <w:rsid w:val="003A1B3A"/>
    <w:rsid w:val="003A40F5"/>
    <w:rsid w:val="003A5BF3"/>
    <w:rsid w:val="003B2649"/>
    <w:rsid w:val="003B3487"/>
    <w:rsid w:val="003B5B8C"/>
    <w:rsid w:val="003B7ADD"/>
    <w:rsid w:val="003C554E"/>
    <w:rsid w:val="003C5E16"/>
    <w:rsid w:val="003C7841"/>
    <w:rsid w:val="003D15AE"/>
    <w:rsid w:val="003D5EAA"/>
    <w:rsid w:val="003D79B1"/>
    <w:rsid w:val="003E1551"/>
    <w:rsid w:val="003E74EE"/>
    <w:rsid w:val="003F0552"/>
    <w:rsid w:val="003F3BC2"/>
    <w:rsid w:val="003F5172"/>
    <w:rsid w:val="003F725B"/>
    <w:rsid w:val="00401ED1"/>
    <w:rsid w:val="0040224C"/>
    <w:rsid w:val="00402C37"/>
    <w:rsid w:val="004101DC"/>
    <w:rsid w:val="00411852"/>
    <w:rsid w:val="004118D0"/>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5AF1"/>
    <w:rsid w:val="004C6188"/>
    <w:rsid w:val="004C62AA"/>
    <w:rsid w:val="004C67C6"/>
    <w:rsid w:val="004C73B2"/>
    <w:rsid w:val="004D108D"/>
    <w:rsid w:val="004D29DE"/>
    <w:rsid w:val="004E1094"/>
    <w:rsid w:val="004E2E81"/>
    <w:rsid w:val="0050662A"/>
    <w:rsid w:val="00510EAC"/>
    <w:rsid w:val="00526875"/>
    <w:rsid w:val="00532189"/>
    <w:rsid w:val="00542A57"/>
    <w:rsid w:val="00545068"/>
    <w:rsid w:val="0054635D"/>
    <w:rsid w:val="005635C8"/>
    <w:rsid w:val="00565974"/>
    <w:rsid w:val="00571302"/>
    <w:rsid w:val="005732C0"/>
    <w:rsid w:val="0057336D"/>
    <w:rsid w:val="0057489A"/>
    <w:rsid w:val="00574ACF"/>
    <w:rsid w:val="00581588"/>
    <w:rsid w:val="0058540B"/>
    <w:rsid w:val="00587C87"/>
    <w:rsid w:val="00590B80"/>
    <w:rsid w:val="005B3134"/>
    <w:rsid w:val="005B4E61"/>
    <w:rsid w:val="005B595A"/>
    <w:rsid w:val="005B66C2"/>
    <w:rsid w:val="005B7DC3"/>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1FE1"/>
    <w:rsid w:val="00663EA5"/>
    <w:rsid w:val="00666D94"/>
    <w:rsid w:val="00681509"/>
    <w:rsid w:val="00682146"/>
    <w:rsid w:val="00682E53"/>
    <w:rsid w:val="00683E6F"/>
    <w:rsid w:val="006862C0"/>
    <w:rsid w:val="00690811"/>
    <w:rsid w:val="00690957"/>
    <w:rsid w:val="00693DAE"/>
    <w:rsid w:val="00697039"/>
    <w:rsid w:val="006971F3"/>
    <w:rsid w:val="006A12BE"/>
    <w:rsid w:val="006B16A5"/>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128"/>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05BC4"/>
    <w:rsid w:val="00811708"/>
    <w:rsid w:val="00813007"/>
    <w:rsid w:val="0081404B"/>
    <w:rsid w:val="00816B90"/>
    <w:rsid w:val="00817799"/>
    <w:rsid w:val="00821796"/>
    <w:rsid w:val="00822F5F"/>
    <w:rsid w:val="00824349"/>
    <w:rsid w:val="00824FD3"/>
    <w:rsid w:val="008261E4"/>
    <w:rsid w:val="00826589"/>
    <w:rsid w:val="00830070"/>
    <w:rsid w:val="00830F91"/>
    <w:rsid w:val="00832A9B"/>
    <w:rsid w:val="00834BCC"/>
    <w:rsid w:val="008355D9"/>
    <w:rsid w:val="00836451"/>
    <w:rsid w:val="00850D54"/>
    <w:rsid w:val="00852E2B"/>
    <w:rsid w:val="00862C50"/>
    <w:rsid w:val="00863F8D"/>
    <w:rsid w:val="00870DAB"/>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1D5"/>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45B6"/>
    <w:rsid w:val="0098119A"/>
    <w:rsid w:val="00981794"/>
    <w:rsid w:val="009823EE"/>
    <w:rsid w:val="00984AAF"/>
    <w:rsid w:val="00985521"/>
    <w:rsid w:val="00991B09"/>
    <w:rsid w:val="0099319C"/>
    <w:rsid w:val="00993CB2"/>
    <w:rsid w:val="009A0251"/>
    <w:rsid w:val="009A218B"/>
    <w:rsid w:val="009A5166"/>
    <w:rsid w:val="009A76F8"/>
    <w:rsid w:val="009B2B83"/>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580D"/>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9572B"/>
    <w:rsid w:val="00BA2598"/>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63A5"/>
    <w:rsid w:val="00CF131F"/>
    <w:rsid w:val="00CF320C"/>
    <w:rsid w:val="00CF3A4B"/>
    <w:rsid w:val="00CF4001"/>
    <w:rsid w:val="00CF52E4"/>
    <w:rsid w:val="00CF75DF"/>
    <w:rsid w:val="00D05837"/>
    <w:rsid w:val="00D12D8A"/>
    <w:rsid w:val="00D13E0C"/>
    <w:rsid w:val="00D20FB5"/>
    <w:rsid w:val="00D25896"/>
    <w:rsid w:val="00D26EE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1BD5"/>
    <w:rsid w:val="00D6407A"/>
    <w:rsid w:val="00D64A19"/>
    <w:rsid w:val="00D7189B"/>
    <w:rsid w:val="00D7327C"/>
    <w:rsid w:val="00D74140"/>
    <w:rsid w:val="00D80045"/>
    <w:rsid w:val="00D93AD4"/>
    <w:rsid w:val="00DA2E9E"/>
    <w:rsid w:val="00DA6E56"/>
    <w:rsid w:val="00DA78DD"/>
    <w:rsid w:val="00DB0DF2"/>
    <w:rsid w:val="00DB1C65"/>
    <w:rsid w:val="00DB485B"/>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2FC"/>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2F5A"/>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279F0"/>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D76"/>
    <w:rsid w:val="00F94055"/>
    <w:rsid w:val="00F95581"/>
    <w:rsid w:val="00FA3B8F"/>
    <w:rsid w:val="00FB17AB"/>
    <w:rsid w:val="00FB48CF"/>
    <w:rsid w:val="00FC002E"/>
    <w:rsid w:val="00FC4C23"/>
    <w:rsid w:val="00FC6204"/>
    <w:rsid w:val="00FC642E"/>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90B8B"/>
  <w15:docId w15:val="{756EB223-D9D2-4317-AF5C-D83C5046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8D"/>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DB485B"/>
    <w:pPr>
      <w:spacing w:before="0"/>
      <w:ind w:left="284" w:hanging="284"/>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rPr>
      <w:sz w:val="28"/>
    </w:r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EE2F5A"/>
    <w:rPr>
      <w:color w:val="auto"/>
      <w:u w:val="non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CF52E4"/>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DB485B"/>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styleId="BodyText">
    <w:name w:val="Body Text"/>
    <w:basedOn w:val="Normal"/>
    <w:link w:val="BodyTextChar"/>
    <w:uiPriority w:val="99"/>
    <w:semiHidden/>
    <w:unhideWhenUsed/>
    <w:rsid w:val="00402C37"/>
    <w:pPr>
      <w:spacing w:after="120"/>
    </w:pPr>
  </w:style>
  <w:style w:type="character" w:customStyle="1" w:styleId="BodyTextChar">
    <w:name w:val="Body Text Char"/>
    <w:basedOn w:val="DefaultParagraphFont"/>
    <w:link w:val="BodyText"/>
    <w:uiPriority w:val="99"/>
    <w:semiHidden/>
    <w:rsid w:val="00402C37"/>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tas.gov.au/view/html/inforce/current/act-1997-086" TargetMode="External"/><Relationship Id="rId18" Type="http://schemas.openxmlformats.org/officeDocument/2006/relationships/hyperlink" Target="https://doi.org/10.1016/j.puhe.2023.10.031" TargetMode="External"/><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doi.org/10.1038/s41598-021-04080-3" TargetMode="External"/><Relationship Id="rId34" Type="http://schemas.openxmlformats.org/officeDocument/2006/relationships/hyperlink" Target="https://www1.health.gov.au/internet/main/publishing.nsf/Content/cda-pubs-cdi-auth_inst.htm" TargetMode="External"/><Relationship Id="rId7" Type="http://schemas.openxmlformats.org/officeDocument/2006/relationships/footnotes" Target="footnotes.xml"/><Relationship Id="rId12" Type="http://schemas.openxmlformats.org/officeDocument/2006/relationships/hyperlink" Target="mailto:michelle.mcpherson@utas.edu.au" TargetMode="External"/><Relationship Id="rId17" Type="http://schemas.openxmlformats.org/officeDocument/2006/relationships/hyperlink" Target="https://immunisationhandbook.health.gov.au/" TargetMode="External"/><Relationship Id="rId25" Type="http://schemas.openxmlformats.org/officeDocument/2006/relationships/header" Target="header2.xml"/><Relationship Id="rId33" Type="http://schemas.openxmlformats.org/officeDocument/2006/relationships/hyperlink" Target="https://www1.health.gov.au/internet/main/publishing.nsf/Content/cda-pubs-cdi-auth_inst.htm"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doi.org/10.1002/ppul.26324" TargetMode="External"/><Relationship Id="rId20" Type="http://schemas.openxmlformats.org/officeDocument/2006/relationships/hyperlink" Target="https://doi.org/10.33321/cdi.2022.46.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32" Type="http://schemas.openxmlformats.org/officeDocument/2006/relationships/hyperlink" Target="http://www.health.gov.au/cdna" TargetMode="External"/><Relationship Id="rId37" Type="http://schemas.openxmlformats.org/officeDocument/2006/relationships/hyperlink" Target="mailto:cdi.editor@health.gov.a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111/irv.13031" TargetMode="External"/><Relationship Id="rId23" Type="http://schemas.openxmlformats.org/officeDocument/2006/relationships/hyperlink" Target="https://doi.org/10.1186/1471-2458-14-147" TargetMode="External"/><Relationship Id="rId28" Type="http://schemas.openxmlformats.org/officeDocument/2006/relationships/header" Target="header3.xml"/><Relationship Id="rId36" Type="http://schemas.openxmlformats.org/officeDocument/2006/relationships/hyperlink" Target="http://www.health.gov.au/cdi" TargetMode="External"/><Relationship Id="rId10" Type="http://schemas.openxmlformats.org/officeDocument/2006/relationships/image" Target="media/image2.png"/><Relationship Id="rId19" Type="http://schemas.openxmlformats.org/officeDocument/2006/relationships/hyperlink" Target="https://www.health.gov.au/resources/publications/respiratory-syncytial-virus-surveillance-case-definition" TargetMode="External"/><Relationship Id="rId31" Type="http://schemas.openxmlformats.org/officeDocument/2006/relationships/hyperlink" Target="mailto:cdi.editor@health.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3389/fimmu.2022.880368" TargetMode="External"/><Relationship Id="rId22" Type="http://schemas.openxmlformats.org/officeDocument/2006/relationships/hyperlink" Target="https://doi.org/10.5694/mja2.50159" TargetMode="External"/><Relationship Id="rId27" Type="http://schemas.openxmlformats.org/officeDocument/2006/relationships/footer" Target="footer2.xml"/><Relationship Id="rId30" Type="http://schemas.openxmlformats.org/officeDocument/2006/relationships/hyperlink" Target="https://creativecommons.org/licenses/by-nc-nd/4.0/legalcode" TargetMode="External"/><Relationship Id="rId35" Type="http://schemas.openxmlformats.org/officeDocument/2006/relationships/hyperlink" Target="mailto:cdi.editor@health.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indss.health.gov.au/pbi-dashboar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1</TotalTime>
  <Pages>9</Pages>
  <Words>2496</Words>
  <Characters>15925</Characters>
  <Application>Microsoft Office Word</Application>
  <DocSecurity>4</DocSecurity>
  <Lines>132</Lines>
  <Paragraphs>36</Paragraphs>
  <ScaleCrop>false</ScaleCrop>
  <HeadingPairs>
    <vt:vector size="2" baseType="variant">
      <vt:variant>
        <vt:lpstr>Title</vt:lpstr>
      </vt:variant>
      <vt:variant>
        <vt:i4>1</vt:i4>
      </vt:variant>
    </vt:vector>
  </HeadingPairs>
  <TitlesOfParts>
    <vt:vector size="1" baseType="lpstr">
      <vt:lpstr>Communicable Diseases Intelligence - The first year of respiratory syncytial virus (RSV) surveillance in Tasmania, 1 July 2022 – 30 June 2023</vt:lpstr>
    </vt:vector>
  </TitlesOfParts>
  <Company/>
  <LinksUpToDate>false</LinksUpToDate>
  <CharactersWithSpaces>18385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The first year of respiratory syncytial virus (RSV) surveillance in Tasmania, 1 July 2022 – 30 June 2023</dc:title>
  <dc:subject>This study describes the epidemiology and data quality of all notifications of laboratory confirmed RSV that had a specimen collection date from 1 July 2022 to 30 June 2023 in Tasmania. Descriptive analysis was undertaken by age group, sex, month of notification and residential location and data quality was assessed through completeness of reporting.</dc:subject>
  <dc:creator>Michelle McPherson;Nicola Stephens;Bhavika Yadav;Shannon Melody</dc:creator>
  <cp:keywords>respiratory syncytial virus; RSV; surveillance; Tasmania</cp:keywords>
  <dc:description>© 2025 Commonwealth of Australia as represented by the Department of Health and Aged Care. This publication is licenced under a CC BY-NC-ND licence.</dc:description>
  <cp:lastModifiedBy>PETRIE, Simon</cp:lastModifiedBy>
  <cp:revision>2</cp:revision>
  <cp:lastPrinted>2024-03-07T01:06:00Z</cp:lastPrinted>
  <dcterms:created xsi:type="dcterms:W3CDTF">2025-05-11T23:46:00Z</dcterms:created>
  <dcterms:modified xsi:type="dcterms:W3CDTF">2025-05-11T23:46:00Z</dcterms:modified>
  <cp:category>Surveillance summary</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19/05/2025</vt:lpwstr>
  </property>
  <property fmtid="{D5CDD505-2E9C-101B-9397-08002B2CF9AE}" pid="5" name="DOI">
    <vt:lpwstr>https://doi.org/10.33321/cdi.2025.49.040</vt:lpwstr>
  </property>
</Properties>
</file>