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ADEA" w14:textId="345C1E3F" w:rsidR="00B50D8D" w:rsidRPr="00341720" w:rsidRDefault="00282B56" w:rsidP="00341720">
      <w:pPr>
        <w:pStyle w:val="CDIDOIInformation"/>
      </w:pPr>
      <w:r>
        <w:fldChar w:fldCharType="begin"/>
      </w:r>
      <w:r>
        <w:instrText xml:space="preserve"> DOCPROPERTY  Year  \* MERGEFORMAT </w:instrText>
      </w:r>
      <w:r>
        <w:fldChar w:fldCharType="separate"/>
      </w:r>
      <w:r w:rsidR="008A4E1C">
        <w:t>2024</w:t>
      </w:r>
      <w:r>
        <w:fldChar w:fldCharType="end"/>
      </w:r>
      <w:r w:rsidR="00A623E8" w:rsidRPr="00341720">
        <w:t xml:space="preserve"> • </w:t>
      </w:r>
      <w:r w:rsidR="00B50D8D" w:rsidRPr="00341720">
        <w:t xml:space="preserve">Volume </w:t>
      </w:r>
      <w:fldSimple w:instr=" DOCPROPERTY  Vol  \* MERGEFORMAT ">
        <w:r w:rsidR="008A4E1C">
          <w:t>48</w:t>
        </w:r>
      </w:fldSimple>
      <w:r w:rsidR="00725C33" w:rsidRPr="00341720">
        <w:t xml:space="preserve"> </w:t>
      </w:r>
      <w:r w:rsidR="008E3F81" w:rsidRPr="00341720">
        <w:t>•</w:t>
      </w:r>
      <w:r w:rsidR="00725C33" w:rsidRPr="00341720">
        <w:t xml:space="preserve"> </w:t>
      </w:r>
      <w:fldSimple w:instr=" DOCPROPERTY  DOI  \* MERGEFORMAT ">
        <w:r w:rsidR="0072438C">
          <w:t>https://doi.org/10.33321/cdi.2024.48.25</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72438C">
          <w:t>17/07/2024</w:t>
        </w:r>
      </w:fldSimple>
    </w:p>
    <w:p w14:paraId="2D9DA86D" w14:textId="4451AC6D" w:rsidR="00E30C30" w:rsidRPr="0037146D" w:rsidRDefault="00AB4EBF" w:rsidP="0037146D">
      <w:pPr>
        <w:pStyle w:val="Title"/>
        <w:divId w:val="935526654"/>
      </w:pPr>
      <w:r w:rsidRPr="00AB4EBF">
        <w:t>ATAGI Targeted Review 2023: Vaccination for prevention of influenza in Australia</w:t>
      </w:r>
    </w:p>
    <w:p w14:paraId="14531CD7" w14:textId="1AC100E1" w:rsidR="007A33B9" w:rsidRPr="0037146D" w:rsidRDefault="00AB4EBF" w:rsidP="0037146D">
      <w:pPr>
        <w:pStyle w:val="Subtitle"/>
        <w:divId w:val="935526654"/>
      </w:pPr>
      <w:proofErr w:type="spellStart"/>
      <w:r w:rsidRPr="00AB4EBF">
        <w:t>Chisato</w:t>
      </w:r>
      <w:proofErr w:type="spellEnd"/>
      <w:r w:rsidRPr="00AB4EBF">
        <w:t xml:space="preserve"> Imai, Sanjay Jayasinghe, </w:t>
      </w:r>
      <w:proofErr w:type="spellStart"/>
      <w:r w:rsidRPr="00AB4EBF">
        <w:t>Jocelynne</w:t>
      </w:r>
      <w:proofErr w:type="spellEnd"/>
      <w:r w:rsidRPr="00AB4EBF">
        <w:t xml:space="preserve"> McRae, Jean Li-Kim-Moy, Clayton Chiu, Kristine</w:t>
      </w:r>
      <w:r>
        <w:t> </w:t>
      </w:r>
      <w:r w:rsidRPr="00AB4EBF">
        <w:t xml:space="preserve">Macartney, Penelope Burns, Kristy Cooper, Allen C Cheng, Katherine Gibney, Michelle Giles, Cheryl Jones, Tony </w:t>
      </w:r>
      <w:proofErr w:type="spellStart"/>
      <w:r w:rsidRPr="00AB4EBF">
        <w:t>Korman</w:t>
      </w:r>
      <w:proofErr w:type="spellEnd"/>
      <w:r w:rsidRPr="00AB4EBF">
        <w:t>, Bette Liu, Nigel W Crawford on behalf of the Australian</w:t>
      </w:r>
      <w:r>
        <w:t xml:space="preserve"> </w:t>
      </w:r>
      <w:r w:rsidRPr="00AB4EBF">
        <w:t>Technical</w:t>
      </w:r>
      <w:r>
        <w:t xml:space="preserve"> </w:t>
      </w:r>
      <w:r w:rsidRPr="00AB4EBF">
        <w:t>Advisory Group on Immunisation (ATAGI)</w:t>
      </w:r>
    </w:p>
    <w:p w14:paraId="53862345" w14:textId="77777777" w:rsidR="0037146D" w:rsidRDefault="0037146D" w:rsidP="0037146D">
      <w:pPr>
        <w:pStyle w:val="Heading1"/>
        <w:divId w:val="935526654"/>
        <w:rPr>
          <w:lang w:val="en-GB"/>
        </w:rPr>
      </w:pPr>
      <w:r>
        <w:rPr>
          <w:lang w:val="en-GB"/>
        </w:rPr>
        <w:t>Abstract</w:t>
      </w:r>
    </w:p>
    <w:p w14:paraId="126D9A18" w14:textId="77777777" w:rsidR="00AB4EBF" w:rsidRPr="00AB4EBF" w:rsidRDefault="00AB4EBF" w:rsidP="00AB4EBF">
      <w:pPr>
        <w:divId w:val="935526654"/>
        <w:rPr>
          <w:lang w:val="en-GB"/>
        </w:rPr>
      </w:pPr>
      <w:r w:rsidRPr="00AB4EBF">
        <w:rPr>
          <w:lang w:val="en-GB"/>
        </w:rPr>
        <w:t>Annual seasonal influenza epidemics cause substantial disease and economic burden worldwide. During the coronavirus disease 2019 (COVID-19) pandemic in 2020 and 2021, influenza activity significantly declined. However, influenza resurged in Australia following the relaxation of non-pharmaceutical interventions, with increased influenza virus circulation in early 2022 coinciding with the SARS-CoV-2 Omicron BA.2 variant wave. Together with other respiratory virus diseases, these disease impacts on the Australian population and healthcare system have re-emphasised the importance of influenza vaccination and control. We aim to provide an overview of the current seasonal influenza vaccination program in Australia and summarise evidence and considerations underpinning potential future immunisation strategies.</w:t>
      </w:r>
    </w:p>
    <w:p w14:paraId="11BD36B4" w14:textId="77777777" w:rsidR="00AB4EBF" w:rsidRPr="00AB4EBF" w:rsidRDefault="00AB4EBF" w:rsidP="00AB4EBF">
      <w:pPr>
        <w:divId w:val="935526654"/>
        <w:rPr>
          <w:lang w:val="en-GB"/>
        </w:rPr>
      </w:pPr>
      <w:r w:rsidRPr="00AB4EBF">
        <w:rPr>
          <w:lang w:val="en-GB"/>
        </w:rPr>
        <w:t>Influenza causes disproportionately higher morbidity and mortality in young children and older adults. Other populations at elevated risk from influenza include Aboriginal and Torres Strait Islander peoples, pregnant women, and people with certain underlying medical conditions. All Australians aged ≥ 6 months are recommended to receive influenza vaccine every year. The National Immunisation Program (NIP) provides free vaccine for eligible at-risk populations. While approximately 70% of older adults had received influenza vaccine in 2022, coverage in other age groups remains suboptimal.</w:t>
      </w:r>
    </w:p>
    <w:p w14:paraId="22E862C5" w14:textId="77777777" w:rsidR="00AB4EBF" w:rsidRPr="00AB4EBF" w:rsidRDefault="00AB4EBF" w:rsidP="00AB4EBF">
      <w:pPr>
        <w:pStyle w:val="Normal-morespace"/>
        <w:divId w:val="935526654"/>
        <w:rPr>
          <w:lang w:val="en-GB"/>
        </w:rPr>
      </w:pPr>
      <w:r w:rsidRPr="00AB4EBF">
        <w:rPr>
          <w:lang w:val="en-GB"/>
        </w:rPr>
        <w:t xml:space="preserve">There are several key unmet needs and challenges, but also potential strategies for enhancing the influenza vaccination program in Australia. Improved monitoring and evaluation, including the use of relevant linked datasets for such purposes, is imperative to better understand variations in coverage and vaccination impact in specific populations. Adoption of evidence-based strategies, such as culturally appropriate resources that consider the characteristics of diverse Australian populations, may also help to achieve higher vaccine coverage rates. Additionally, greater vaccine uptake across the population could be </w:t>
      </w:r>
      <w:r w:rsidRPr="00AB4EBF">
        <w:rPr>
          <w:lang w:val="en-GB"/>
        </w:rPr>
        <w:lastRenderedPageBreak/>
        <w:t xml:space="preserve">facilitated by expanding the NIP-eligible population where </w:t>
      </w:r>
      <w:proofErr w:type="gramStart"/>
      <w:r w:rsidRPr="00AB4EBF">
        <w:rPr>
          <w:lang w:val="en-GB"/>
        </w:rPr>
        <w:t>cost-effective, and</w:t>
      </w:r>
      <w:proofErr w:type="gramEnd"/>
      <w:r w:rsidRPr="00AB4EBF">
        <w:rPr>
          <w:lang w:val="en-GB"/>
        </w:rPr>
        <w:t xml:space="preserve"> adopting the use of more effective and different types of vaccines when available.</w:t>
      </w:r>
    </w:p>
    <w:p w14:paraId="2887F925" w14:textId="02F249CA" w:rsidR="00620509" w:rsidRPr="006D508B" w:rsidRDefault="00620509" w:rsidP="00620509">
      <w:pPr>
        <w:pStyle w:val="CDIBoxTextGreen"/>
        <w:divId w:val="935526654"/>
        <w:rPr>
          <w:lang w:val="en-GB"/>
        </w:rPr>
      </w:pPr>
      <w:r w:rsidRPr="0037146D">
        <w:rPr>
          <w:lang w:val="en-GB"/>
        </w:rPr>
        <w:t xml:space="preserve">Keywords: </w:t>
      </w:r>
      <w:r w:rsidR="00AB4EBF" w:rsidRPr="00AB4EBF">
        <w:rPr>
          <w:lang w:val="en-GB"/>
        </w:rPr>
        <w:t>Influenza; influenza vaccine; immunisation programs; prevention and control; Australian Technical Advisory Group on Immunisation (ATAGI); National Immunisation Technical Advisory Group (NITAG)</w:t>
      </w:r>
    </w:p>
    <w:p w14:paraId="47C7F8C2" w14:textId="77777777" w:rsidR="0072438C" w:rsidRDefault="0072438C" w:rsidP="0072438C">
      <w:pPr>
        <w:pStyle w:val="Heading1"/>
        <w:divId w:val="935526654"/>
      </w:pPr>
      <w:r>
        <w:t>Introduction</w:t>
      </w:r>
    </w:p>
    <w:p w14:paraId="4FF8F012" w14:textId="77777777" w:rsidR="00AB4EBF" w:rsidRPr="00AB4EBF" w:rsidRDefault="00AB4EBF" w:rsidP="00AB4EBF">
      <w:pPr>
        <w:divId w:val="935526654"/>
        <w:rPr>
          <w:lang w:val="en-GB"/>
        </w:rPr>
      </w:pPr>
      <w:r w:rsidRPr="00AB4EBF">
        <w:rPr>
          <w:lang w:val="en-GB"/>
        </w:rPr>
        <w:t>Influenza is an infectious disease that typically occurs in winter, resulting in substantial disease and economic burden worldwide.</w:t>
      </w:r>
      <w:r w:rsidRPr="00AB4EBF">
        <w:rPr>
          <w:vertAlign w:val="superscript"/>
          <w:lang w:val="en-GB"/>
        </w:rPr>
        <w:t>1</w:t>
      </w:r>
      <w:r w:rsidRPr="00AB4EBF">
        <w:rPr>
          <w:lang w:val="en-GB"/>
        </w:rPr>
        <w:t xml:space="preserve"> Strict enforcement of non-pharmaceutical interventions (NPIs) such as lockdowns, during the first two years of the coronavirus disease 2019 (COVID-19) pandemic, led to disruption of the transmission of respiratory infections like influenza, but vaccination remains the most effective ongoing strategy to prevent and control influenza. In Australia, the Australian Technical Advisory Group on Immunisation (ATAGI) publishes an annual statement containing specific advice relating to influenza vaccination ahead of the influenza season. The Australian Immunisation Handbook</w:t>
      </w:r>
      <w:r w:rsidRPr="00AB4EBF">
        <w:rPr>
          <w:vertAlign w:val="superscript"/>
          <w:lang w:val="en-GB"/>
        </w:rPr>
        <w:t>2</w:t>
      </w:r>
      <w:r w:rsidRPr="00AB4EBF">
        <w:rPr>
          <w:lang w:val="en-GB"/>
        </w:rPr>
        <w:t xml:space="preserve"> contains the broader clinical recommendations by ATAGI on the use of influenza vaccines for immunisation providers.</w:t>
      </w:r>
    </w:p>
    <w:p w14:paraId="1C1EBFAD" w14:textId="77777777" w:rsidR="00AB4EBF" w:rsidRPr="00AB4EBF" w:rsidRDefault="00AB4EBF" w:rsidP="00AB4EBF">
      <w:pPr>
        <w:divId w:val="935526654"/>
        <w:rPr>
          <w:lang w:val="en-GB"/>
        </w:rPr>
      </w:pPr>
      <w:r w:rsidRPr="00AB4EBF">
        <w:rPr>
          <w:lang w:val="en-GB"/>
        </w:rPr>
        <w:t>Seasonal influenza epidemiology in recent years was substantially impacted by the COVID-19 pandemic. Similar to experience overseas, influenza activity in Australia was very low in 2020 and 2021, due to NPIs such as social distancing and border control implemented to restrict the spread of SARS-CoV-2.</w:t>
      </w:r>
      <w:r w:rsidRPr="00AB4EBF">
        <w:rPr>
          <w:vertAlign w:val="superscript"/>
          <w:lang w:val="en-GB"/>
        </w:rPr>
        <w:t>3–5</w:t>
      </w:r>
      <w:r w:rsidRPr="00AB4EBF">
        <w:rPr>
          <w:lang w:val="en-GB"/>
        </w:rPr>
        <w:t xml:space="preserve"> With the relaxation of NPIs, however, influenza activity resurged concurrently with the emergence of the Omicron BA.2 wave in early 2022.</w:t>
      </w:r>
      <w:r w:rsidRPr="00AB4EBF">
        <w:rPr>
          <w:vertAlign w:val="superscript"/>
          <w:lang w:val="en-GB"/>
        </w:rPr>
        <w:t>6</w:t>
      </w:r>
      <w:r w:rsidRPr="00AB4EBF">
        <w:rPr>
          <w:lang w:val="en-GB"/>
        </w:rPr>
        <w:t xml:space="preserve"> Together with co-circulation of other respiratory viruses such as respiratory syncytial virus (RSV), this led to significant strain on the Australian healthcare system that highlighted the importance of influenza vaccination along with COVID-19 control.</w:t>
      </w:r>
    </w:p>
    <w:p w14:paraId="62AC2138" w14:textId="77777777" w:rsidR="00AB4EBF" w:rsidRPr="00AB4EBF" w:rsidRDefault="00AB4EBF" w:rsidP="00AB4EBF">
      <w:pPr>
        <w:divId w:val="935526654"/>
        <w:rPr>
          <w:lang w:val="en-GB"/>
        </w:rPr>
      </w:pPr>
      <w:r w:rsidRPr="00AB4EBF">
        <w:rPr>
          <w:lang w:val="en-GB"/>
        </w:rPr>
        <w:t>This ATAGI targeted review focuses on the national seasonal influenza vaccination program, addressing the key considerations underpinning ATAGI’s recommendations for the prevention and control of influenza. The review covers:</w:t>
      </w:r>
    </w:p>
    <w:p w14:paraId="38185D7C" w14:textId="77777777" w:rsidR="00AB4EBF" w:rsidRDefault="00AB4EBF" w:rsidP="00AB4EBF">
      <w:pPr>
        <w:pStyle w:val="CDIBulletsL1"/>
        <w:divId w:val="935526654"/>
      </w:pPr>
      <w:r>
        <w:t xml:space="preserve">influenza epidemiology in </w:t>
      </w:r>
      <w:proofErr w:type="gramStart"/>
      <w:r>
        <w:t>Australia;</w:t>
      </w:r>
      <w:proofErr w:type="gramEnd"/>
    </w:p>
    <w:p w14:paraId="19C72A1A" w14:textId="77777777" w:rsidR="00AB4EBF" w:rsidRDefault="00AB4EBF" w:rsidP="00AB4EBF">
      <w:pPr>
        <w:pStyle w:val="CDIBulletsL1"/>
        <w:divId w:val="935526654"/>
      </w:pPr>
      <w:r>
        <w:t xml:space="preserve">influenza vaccines currently available and under </w:t>
      </w:r>
      <w:proofErr w:type="gramStart"/>
      <w:r>
        <w:t>development;</w:t>
      </w:r>
      <w:proofErr w:type="gramEnd"/>
    </w:p>
    <w:p w14:paraId="08A6E8F0" w14:textId="77777777" w:rsidR="00AB4EBF" w:rsidRDefault="00AB4EBF" w:rsidP="00AB4EBF">
      <w:pPr>
        <w:pStyle w:val="CDIBulletsL1"/>
        <w:divId w:val="935526654"/>
      </w:pPr>
      <w:r>
        <w:t xml:space="preserve">ATAGI recommendations for seasonal influenza vaccination and the current influenza vaccination program for </w:t>
      </w:r>
      <w:proofErr w:type="gramStart"/>
      <w:r>
        <w:t>Australians;</w:t>
      </w:r>
      <w:proofErr w:type="gramEnd"/>
    </w:p>
    <w:p w14:paraId="0642E93A" w14:textId="77777777" w:rsidR="00AB4EBF" w:rsidRDefault="00AB4EBF" w:rsidP="00AB4EBF">
      <w:pPr>
        <w:pStyle w:val="CDIBulletsL1"/>
        <w:divId w:val="935526654"/>
      </w:pPr>
      <w:r>
        <w:t>current challenges relating to influenza vaccination in various age and at-risk populations; and</w:t>
      </w:r>
    </w:p>
    <w:p w14:paraId="5D9EFD32" w14:textId="4FFA05B9" w:rsidR="0072438C" w:rsidRPr="00620509" w:rsidRDefault="00AB4EBF" w:rsidP="00AB4EBF">
      <w:pPr>
        <w:pStyle w:val="CDIBulletsL1"/>
        <w:divId w:val="935526654"/>
      </w:pPr>
      <w:r>
        <w:t>potential future vaccination strategies that may optimise prevention of influenza.</w:t>
      </w:r>
    </w:p>
    <w:p w14:paraId="37645562" w14:textId="1679961B" w:rsidR="0072438C" w:rsidRDefault="00AB4EBF" w:rsidP="0072438C">
      <w:pPr>
        <w:pStyle w:val="Heading1"/>
        <w:divId w:val="935526654"/>
        <w:rPr>
          <w:lang w:val="en-GB"/>
        </w:rPr>
      </w:pPr>
      <w:r w:rsidRPr="00AB4EBF">
        <w:rPr>
          <w:lang w:val="en-GB"/>
        </w:rPr>
        <w:lastRenderedPageBreak/>
        <w:t>Influenza epidemiology in Australia</w:t>
      </w:r>
    </w:p>
    <w:p w14:paraId="1F2C71DC" w14:textId="3F8C11E2" w:rsidR="0072438C" w:rsidRDefault="00AB4EBF" w:rsidP="00AB4EBF">
      <w:pPr>
        <w:pStyle w:val="Heading2"/>
        <w:divId w:val="935526654"/>
        <w:rPr>
          <w:lang w:val="en-GB"/>
        </w:rPr>
      </w:pPr>
      <w:r w:rsidRPr="00AB4EBF">
        <w:rPr>
          <w:lang w:val="en-GB"/>
        </w:rPr>
        <w:t>Causative agents</w:t>
      </w:r>
    </w:p>
    <w:p w14:paraId="765114C0" w14:textId="77777777" w:rsidR="00AB4EBF" w:rsidRPr="00AB4EBF" w:rsidRDefault="00AB4EBF" w:rsidP="00AB4EBF">
      <w:pPr>
        <w:divId w:val="935526654"/>
        <w:rPr>
          <w:lang w:val="en-GB"/>
        </w:rPr>
      </w:pPr>
      <w:r w:rsidRPr="00AB4EBF">
        <w:rPr>
          <w:lang w:val="en-GB"/>
        </w:rPr>
        <w:t>Influenza A and B are the main types of influenza viruses that cause epidemics in humans.</w:t>
      </w:r>
      <w:r w:rsidRPr="00AB4EBF">
        <w:rPr>
          <w:vertAlign w:val="superscript"/>
          <w:lang w:val="en-GB"/>
        </w:rPr>
        <w:t>7</w:t>
      </w:r>
      <w:r w:rsidRPr="00AB4EBF">
        <w:rPr>
          <w:lang w:val="en-GB"/>
        </w:rPr>
        <w:t xml:space="preserve"> Influenza A has subtypes that are defined by the surface antigens hemagglutinin (HA) and neuraminidase. Currently A(H1N1) and A(H3N2) are the two influenza A subtypes circulating in humans, with A(H3N2) strains being more antigenically diverse.</w:t>
      </w:r>
      <w:r w:rsidRPr="00AB4EBF">
        <w:rPr>
          <w:vertAlign w:val="superscript"/>
          <w:lang w:val="en-GB"/>
        </w:rPr>
        <w:t>8</w:t>
      </w:r>
      <w:r w:rsidRPr="00AB4EBF">
        <w:rPr>
          <w:lang w:val="en-GB"/>
        </w:rPr>
        <w:t xml:space="preserve"> Influenza B is classified into two lineages, B/Yamagata, which was last reported in 2020, and B/Victoria.</w:t>
      </w:r>
      <w:r w:rsidRPr="00AB4EBF">
        <w:rPr>
          <w:vertAlign w:val="superscript"/>
          <w:lang w:val="en-GB"/>
        </w:rPr>
        <w:t>9</w:t>
      </w:r>
      <w:r w:rsidRPr="00AB4EBF">
        <w:rPr>
          <w:lang w:val="en-GB"/>
        </w:rPr>
        <w:t xml:space="preserve"> (Appendix A, Table A.1)</w:t>
      </w:r>
    </w:p>
    <w:p w14:paraId="1F95FBCB" w14:textId="77777777" w:rsidR="00AB4EBF" w:rsidRPr="00AB4EBF" w:rsidRDefault="00AB4EBF" w:rsidP="00AB4EBF">
      <w:pPr>
        <w:divId w:val="935526654"/>
        <w:rPr>
          <w:lang w:val="en-GB"/>
        </w:rPr>
      </w:pPr>
      <w:r w:rsidRPr="00AB4EBF">
        <w:rPr>
          <w:lang w:val="en-GB"/>
        </w:rPr>
        <w:t xml:space="preserve">Mutation of the influenza virus genes occurs constantly during viral replication, often altering the antigenic characteristics. This antigenic change (referred to as antigenic </w:t>
      </w:r>
      <w:r w:rsidRPr="00AB4EBF">
        <w:rPr>
          <w:i/>
          <w:iCs/>
          <w:lang w:val="en-GB"/>
        </w:rPr>
        <w:t>drift</w:t>
      </w:r>
      <w:r w:rsidRPr="00AB4EBF">
        <w:rPr>
          <w:lang w:val="en-GB"/>
        </w:rPr>
        <w:t xml:space="preserve">) causes immune responses from prior infection and immunisation to be less effective, necessitating annual review and reformulation of the influenza vaccine to aim for the best match with the predicted dominant circulating strains in the upcoming season. Influenza A viruses can also evolve rapidly through the reassortment of viral gene segments (referred to as antigenic </w:t>
      </w:r>
      <w:r w:rsidRPr="00AB4EBF">
        <w:rPr>
          <w:i/>
          <w:iCs/>
          <w:lang w:val="en-GB"/>
        </w:rPr>
        <w:t>shift</w:t>
      </w:r>
      <w:r w:rsidRPr="00AB4EBF">
        <w:rPr>
          <w:lang w:val="en-GB"/>
        </w:rPr>
        <w:t>). This major change in the virus can potentially instigate a global pandemic.</w:t>
      </w:r>
      <w:r w:rsidRPr="00AB4EBF">
        <w:rPr>
          <w:vertAlign w:val="superscript"/>
          <w:lang w:val="en-GB"/>
        </w:rPr>
        <w:t>9,</w:t>
      </w:r>
      <w:proofErr w:type="gramStart"/>
      <w:r w:rsidRPr="00AB4EBF">
        <w:rPr>
          <w:vertAlign w:val="superscript"/>
          <w:lang w:val="en-GB"/>
        </w:rPr>
        <w:t>10</w:t>
      </w:r>
      <w:proofErr w:type="gramEnd"/>
    </w:p>
    <w:p w14:paraId="0718D5EC" w14:textId="1924D04F" w:rsidR="0072438C" w:rsidRDefault="00AB4EBF" w:rsidP="00AB4EBF">
      <w:pPr>
        <w:pStyle w:val="Heading2"/>
        <w:divId w:val="935526654"/>
        <w:rPr>
          <w:lang w:val="en-GB"/>
        </w:rPr>
      </w:pPr>
      <w:r w:rsidRPr="00AB4EBF">
        <w:rPr>
          <w:lang w:val="en-GB"/>
        </w:rPr>
        <w:t>Characteristics of seasonal epidemics and at-risk populations</w:t>
      </w:r>
    </w:p>
    <w:p w14:paraId="46F09A23" w14:textId="77777777" w:rsidR="00AB4EBF" w:rsidRPr="00AB4EBF" w:rsidRDefault="00AB4EBF" w:rsidP="00AB4EBF">
      <w:pPr>
        <w:divId w:val="935526654"/>
        <w:rPr>
          <w:lang w:val="en-GB"/>
        </w:rPr>
      </w:pPr>
      <w:r w:rsidRPr="00AB4EBF">
        <w:rPr>
          <w:lang w:val="en-GB"/>
        </w:rPr>
        <w:t>The timing of the influenza season varies by year in Australia, but typically occurs from May to October, with additional peaks frequently observed in February and March in the tropical areas.</w:t>
      </w:r>
      <w:r w:rsidRPr="00AB4EBF">
        <w:rPr>
          <w:vertAlign w:val="superscript"/>
          <w:lang w:val="en-GB"/>
        </w:rPr>
        <w:t>11,12</w:t>
      </w:r>
      <w:r w:rsidRPr="00AB4EBF">
        <w:rPr>
          <w:lang w:val="en-GB"/>
        </w:rPr>
        <w:t xml:space="preserve"> There has also been increasing recognition of travel-related inter-seasonal influenza cases in recent years.</w:t>
      </w:r>
      <w:r w:rsidRPr="00AB4EBF">
        <w:rPr>
          <w:vertAlign w:val="superscript"/>
          <w:lang w:val="en-GB"/>
        </w:rPr>
        <w:t>13</w:t>
      </w:r>
    </w:p>
    <w:p w14:paraId="17560144" w14:textId="77777777" w:rsidR="00AB4EBF" w:rsidRPr="00AB4EBF" w:rsidRDefault="00AB4EBF" w:rsidP="00AB4EBF">
      <w:pPr>
        <w:divId w:val="935526654"/>
        <w:rPr>
          <w:lang w:val="en-GB"/>
        </w:rPr>
      </w:pPr>
      <w:r w:rsidRPr="00AB4EBF">
        <w:rPr>
          <w:lang w:val="en-GB"/>
        </w:rPr>
        <w:t>In most instances, influenza is self-limiting, with the most common symptoms being cough, fever, runny nose, sore throat, and headache. However, severe influenza and complications of influenza can result in hospitalisation or death. The highest rates of influenza morbidity and mortality typically occur among children aged &lt; 5 years, adults aged ≥ 65 years, those with underlying medical conditions, and pregnant women. Aboriginal and Torres Strait Islander peoples experience a higher influenza morbidity rate than other Australians.</w:t>
      </w:r>
      <w:r w:rsidRPr="00AB4EBF">
        <w:rPr>
          <w:vertAlign w:val="superscript"/>
          <w:lang w:val="en-GB"/>
        </w:rPr>
        <w:t>2,7,</w:t>
      </w:r>
      <w:proofErr w:type="gramStart"/>
      <w:r w:rsidRPr="00AB4EBF">
        <w:rPr>
          <w:vertAlign w:val="superscript"/>
          <w:lang w:val="en-GB"/>
        </w:rPr>
        <w:t>14</w:t>
      </w:r>
      <w:proofErr w:type="gramEnd"/>
    </w:p>
    <w:p w14:paraId="5ED37FC5" w14:textId="62E1E127" w:rsidR="0072438C" w:rsidRDefault="009767B6" w:rsidP="009767B6">
      <w:pPr>
        <w:pStyle w:val="Heading2"/>
        <w:divId w:val="935526654"/>
        <w:rPr>
          <w:lang w:val="en-GB"/>
        </w:rPr>
      </w:pPr>
      <w:r w:rsidRPr="009767B6">
        <w:rPr>
          <w:lang w:val="en-GB"/>
        </w:rPr>
        <w:t>Influenza surveillance system in Australia</w:t>
      </w:r>
    </w:p>
    <w:p w14:paraId="7F60D2E0" w14:textId="77777777" w:rsidR="009767B6" w:rsidRPr="009767B6" w:rsidRDefault="009767B6" w:rsidP="009767B6">
      <w:pPr>
        <w:divId w:val="935526654"/>
        <w:rPr>
          <w:lang w:val="en-GB"/>
        </w:rPr>
      </w:pPr>
      <w:r w:rsidRPr="009767B6">
        <w:rPr>
          <w:lang w:val="en-GB"/>
        </w:rPr>
        <w:t>In Australia, the National Notifiable Diseases Surveillance System (NNDSS) is the primary system for the national surveillance of communicable diseases including influenza. Data for influenza activity and severity in the community are complemented by national sentinel surveillance programs, such as the Australian Sentinel Practices Research Network (ASPREN) and the Influenza Complications Alert Network (FluCAN), and by the FluTracking program, which uses an online community survey method. Data from these various sources are also used to evaluate vaccine effectiveness (VE).</w:t>
      </w:r>
      <w:r w:rsidRPr="009767B6">
        <w:rPr>
          <w:vertAlign w:val="superscript"/>
          <w:lang w:val="en-GB"/>
        </w:rPr>
        <w:t>15,16</w:t>
      </w:r>
    </w:p>
    <w:p w14:paraId="39BD4C0C" w14:textId="53B12653" w:rsidR="009767B6" w:rsidRDefault="009767B6" w:rsidP="009767B6">
      <w:pPr>
        <w:pStyle w:val="Heading2"/>
        <w:divId w:val="935526654"/>
        <w:rPr>
          <w:lang w:val="en-GB"/>
        </w:rPr>
      </w:pPr>
      <w:r w:rsidRPr="009767B6">
        <w:rPr>
          <w:lang w:val="en-GB"/>
        </w:rPr>
        <w:lastRenderedPageBreak/>
        <w:t>Influenza disease burden in Australia</w:t>
      </w:r>
    </w:p>
    <w:p w14:paraId="09FA78AD" w14:textId="5B171BDE" w:rsidR="009767B6" w:rsidRDefault="009767B6" w:rsidP="009767B6">
      <w:pPr>
        <w:pStyle w:val="Heading3"/>
        <w:divId w:val="935526654"/>
        <w:rPr>
          <w:lang w:val="en-GB"/>
        </w:rPr>
      </w:pPr>
      <w:r w:rsidRPr="009767B6">
        <w:rPr>
          <w:lang w:val="en-GB"/>
        </w:rPr>
        <w:t>Overall trends</w:t>
      </w:r>
    </w:p>
    <w:p w14:paraId="729EEF89" w14:textId="77777777" w:rsidR="009767B6" w:rsidRPr="009767B6" w:rsidRDefault="009767B6" w:rsidP="009767B6">
      <w:pPr>
        <w:divId w:val="935526654"/>
        <w:rPr>
          <w:lang w:val="en-GB"/>
        </w:rPr>
      </w:pPr>
      <w:r w:rsidRPr="009767B6">
        <w:rPr>
          <w:lang w:val="en-GB"/>
        </w:rPr>
        <w:t>Influenza disease burden can fluctuate by year due to the varying intensity of annual epidemics. In 2016 to 2018, influenza caused an average of 73.9 hospitalisations and 3.2 deaths per 100,000 population each year as per the International Statistical Classification of Diseases and Related Health Problems (ICD)-coded national hospitalisation and death registry data.</w:t>
      </w:r>
      <w:r w:rsidRPr="009767B6">
        <w:rPr>
          <w:vertAlign w:val="superscript"/>
          <w:lang w:val="en-GB"/>
        </w:rPr>
        <w:t>17</w:t>
      </w:r>
      <w:r w:rsidRPr="009767B6">
        <w:rPr>
          <w:lang w:val="en-GB"/>
        </w:rPr>
        <w:t xml:space="preserve"> However, during the first two years of the COVID-19 pandemic (2020 and 2021), the circulation of influenza virus in Australia was substantially lower.</w:t>
      </w:r>
      <w:r w:rsidRPr="009767B6">
        <w:rPr>
          <w:vertAlign w:val="superscript"/>
          <w:lang w:val="en-GB"/>
        </w:rPr>
        <w:t>3</w:t>
      </w:r>
    </w:p>
    <w:p w14:paraId="56585C18" w14:textId="77777777" w:rsidR="009767B6" w:rsidRPr="009767B6" w:rsidRDefault="009767B6" w:rsidP="009767B6">
      <w:pPr>
        <w:divId w:val="935526654"/>
        <w:rPr>
          <w:lang w:val="en-GB"/>
        </w:rPr>
      </w:pPr>
      <w:r w:rsidRPr="009767B6">
        <w:rPr>
          <w:lang w:val="en-GB"/>
        </w:rPr>
        <w:t>In NNDSS data, nationally, there were 21,266 and 598 notifications of laboratory confirmed influenza in 2020 and 2021 respectively, which were substantially less than the five-year average.</w:t>
      </w:r>
      <w:r w:rsidRPr="009767B6">
        <w:rPr>
          <w:vertAlign w:val="superscript"/>
          <w:lang w:val="en-GB"/>
        </w:rPr>
        <w:t>4,5</w:t>
      </w:r>
      <w:r w:rsidRPr="009767B6">
        <w:rPr>
          <w:lang w:val="en-GB"/>
        </w:rPr>
        <w:t xml:space="preserve"> In FluCAN sentinel hospitals, only 20 patients with laboratory-confirmed influenza were admitted during the 2020 season, in contrast to &gt; 700 admissions per year in the preceding years.</w:t>
      </w:r>
      <w:r w:rsidRPr="009767B6">
        <w:rPr>
          <w:vertAlign w:val="superscript"/>
          <w:lang w:val="en-GB"/>
        </w:rPr>
        <w:t>18–20</w:t>
      </w:r>
      <w:r w:rsidRPr="009767B6">
        <w:rPr>
          <w:lang w:val="en-GB"/>
        </w:rPr>
        <w:t xml:space="preserve"> However, following the relaxation of NPIs from late 2021, influenza activity rose with an unusually early season start in April 2022 and a rapid increase that peaked in June 2022.</w:t>
      </w:r>
      <w:r w:rsidRPr="009767B6">
        <w:rPr>
          <w:vertAlign w:val="superscript"/>
          <w:lang w:val="en-GB"/>
        </w:rPr>
        <w:t>21</w:t>
      </w:r>
    </w:p>
    <w:p w14:paraId="16D1F257" w14:textId="77777777" w:rsidR="009767B6" w:rsidRPr="009767B6" w:rsidRDefault="009767B6" w:rsidP="009767B6">
      <w:pPr>
        <w:divId w:val="935526654"/>
        <w:rPr>
          <w:lang w:val="en-GB"/>
        </w:rPr>
      </w:pPr>
      <w:r w:rsidRPr="009767B6">
        <w:rPr>
          <w:lang w:val="en-GB"/>
        </w:rPr>
        <w:t>Importantly, the use of surveillance data will likely result in underestimation of the true disease burden, due to under-ascertainment of cases (i.e., cases not seeking healthcare or not having a diagnostic test performed at the appropriate time in their illness).</w:t>
      </w:r>
      <w:r w:rsidRPr="009767B6">
        <w:rPr>
          <w:vertAlign w:val="superscript"/>
          <w:lang w:val="en-GB"/>
        </w:rPr>
        <w:t>22,23</w:t>
      </w:r>
      <w:r w:rsidRPr="009767B6">
        <w:rPr>
          <w:lang w:val="en-GB"/>
        </w:rPr>
        <w:t xml:space="preserve"> Hence, modelling studies have been undertaken to estimate the true influenza burden in Australia. In 2022, a study using time-series regression with 2007–2015 data estimated average annual influenza-attributed respiratory hospitalisation rates to be 54.8 (95%CI: 20.1–88.8) per 100,000 population.</w:t>
      </w:r>
      <w:r w:rsidRPr="009767B6">
        <w:rPr>
          <w:vertAlign w:val="superscript"/>
          <w:lang w:val="en-GB"/>
        </w:rPr>
        <w:t>24</w:t>
      </w:r>
      <w:r w:rsidRPr="009767B6">
        <w:rPr>
          <w:lang w:val="en-GB"/>
        </w:rPr>
        <w:t xml:space="preserve"> Another modelling study, which utilised  a similar statistical approach with 2010–2018 data, estimated the average annual influenza-attributed respiratory mortality to be 4.03 (95% CI: 3.42–4.64) per 100,000 population per year in Australia.</w:t>
      </w:r>
      <w:r w:rsidRPr="009767B6">
        <w:rPr>
          <w:vertAlign w:val="superscript"/>
          <w:lang w:val="en-GB"/>
        </w:rPr>
        <w:t>25</w:t>
      </w:r>
    </w:p>
    <w:p w14:paraId="7AB1AA60" w14:textId="45D429EF" w:rsidR="009767B6" w:rsidRDefault="009767B6" w:rsidP="009767B6">
      <w:pPr>
        <w:pStyle w:val="Heading3"/>
        <w:divId w:val="935526654"/>
        <w:rPr>
          <w:lang w:val="en-GB"/>
        </w:rPr>
      </w:pPr>
      <w:r>
        <w:rPr>
          <w:lang w:val="en-GB"/>
        </w:rPr>
        <w:t>Trends in age</w:t>
      </w:r>
    </w:p>
    <w:p w14:paraId="45811ED2" w14:textId="77777777" w:rsidR="009767B6" w:rsidRPr="009767B6" w:rsidRDefault="009767B6" w:rsidP="009767B6">
      <w:pPr>
        <w:divId w:val="935526654"/>
        <w:rPr>
          <w:lang w:val="en-GB"/>
        </w:rPr>
      </w:pPr>
      <w:r w:rsidRPr="009767B6">
        <w:rPr>
          <w:lang w:val="en-GB"/>
        </w:rPr>
        <w:t>Older adults and pre-school-age children have disproportionally high influenza-associated morbidity and mortality rates.</w:t>
      </w:r>
      <w:r w:rsidRPr="009767B6">
        <w:rPr>
          <w:vertAlign w:val="superscript"/>
          <w:lang w:val="en-GB"/>
        </w:rPr>
        <w:t>17,26,</w:t>
      </w:r>
      <w:proofErr w:type="gramStart"/>
      <w:r w:rsidRPr="009767B6">
        <w:rPr>
          <w:vertAlign w:val="superscript"/>
          <w:lang w:val="en-GB"/>
        </w:rPr>
        <w:t>27</w:t>
      </w:r>
      <w:proofErr w:type="gramEnd"/>
    </w:p>
    <w:p w14:paraId="058849BD" w14:textId="77777777" w:rsidR="009767B6" w:rsidRPr="009767B6" w:rsidRDefault="009767B6" w:rsidP="009767B6">
      <w:pPr>
        <w:divId w:val="935526654"/>
        <w:rPr>
          <w:lang w:val="en-GB"/>
        </w:rPr>
      </w:pPr>
      <w:r w:rsidRPr="009767B6">
        <w:rPr>
          <w:lang w:val="en-GB"/>
        </w:rPr>
        <w:t>Based on the 2016–2018 NNDSS and national hospitalisation data, the highest rate of notification for influenza was among children aged 1–4 years (924.2 per 100,000 population per year). The influenza-associated hospitalisation rates (based on ICD-10 codes J09–J11 in the principal or any other diagnosis fields) were highest in adults aged ≥ 65 years (243.3 per 100,000 population per year), followed by infants aged &lt; 1 year (215.4 per 100,000 population per year). Adults aged ≥ 65 years accounted for 91% of influenza deaths.</w:t>
      </w:r>
      <w:r w:rsidRPr="009767B6">
        <w:rPr>
          <w:vertAlign w:val="superscript"/>
          <w:lang w:val="en-GB"/>
        </w:rPr>
        <w:t>17</w:t>
      </w:r>
    </w:p>
    <w:p w14:paraId="59341357" w14:textId="1046793A" w:rsidR="009767B6" w:rsidRDefault="009767B6" w:rsidP="009767B6">
      <w:pPr>
        <w:pStyle w:val="Heading3"/>
        <w:divId w:val="935526654"/>
        <w:rPr>
          <w:lang w:val="en-GB"/>
        </w:rPr>
      </w:pPr>
      <w:r w:rsidRPr="009767B6">
        <w:rPr>
          <w:lang w:val="en-GB"/>
        </w:rPr>
        <w:t>Trends in Aboriginal and Torres Strait Islander peoples</w:t>
      </w:r>
    </w:p>
    <w:p w14:paraId="712A4C3B" w14:textId="77777777" w:rsidR="009767B6" w:rsidRPr="009767B6" w:rsidRDefault="009767B6" w:rsidP="009767B6">
      <w:pPr>
        <w:divId w:val="935526654"/>
        <w:rPr>
          <w:lang w:val="en-GB"/>
        </w:rPr>
      </w:pPr>
      <w:r w:rsidRPr="009767B6">
        <w:rPr>
          <w:lang w:val="en-GB"/>
        </w:rPr>
        <w:t>Aboriginal and Torres Strait Islander peoples are at increased risk of serious influenza, due to the high prevalence of health-related risk conditions and related longstanding social and health inequities.</w:t>
      </w:r>
      <w:r w:rsidRPr="009767B6">
        <w:rPr>
          <w:vertAlign w:val="superscript"/>
          <w:lang w:val="en-GB"/>
        </w:rPr>
        <w:t>28,29</w:t>
      </w:r>
      <w:r w:rsidRPr="009767B6">
        <w:rPr>
          <w:lang w:val="en-GB"/>
        </w:rPr>
        <w:t xml:space="preserve"> During the 2016–2019 period, influenza-associated hospitalisation rates in the Aboriginal and Torres Strait Islander populations (ascertained using relevant ICD codes in the principal or any other diagnosis fields) were highest in infants aged &lt; 6 months (744.7 per 100,000 population per year) and adults aged ≥ 50 years </w:t>
      </w:r>
      <w:r w:rsidRPr="009767B6">
        <w:rPr>
          <w:lang w:val="en-GB"/>
        </w:rPr>
        <w:lastRenderedPageBreak/>
        <w:t>(500.4 per 100,000 population per year).</w:t>
      </w:r>
      <w:r w:rsidRPr="009767B6">
        <w:rPr>
          <w:vertAlign w:val="superscript"/>
          <w:lang w:val="en-GB"/>
        </w:rPr>
        <w:t>30</w:t>
      </w:r>
      <w:r w:rsidRPr="009767B6">
        <w:rPr>
          <w:lang w:val="en-GB"/>
        </w:rPr>
        <w:t xml:space="preserve"> A surveillance report and modelling study reported higher hospitalisation rates in the Aboriginal and Torres Strait Islander populations, compared to the overall Australian population, across all age groups (2.0–2.4 times higher).</w:t>
      </w:r>
      <w:r w:rsidRPr="009767B6">
        <w:rPr>
          <w:vertAlign w:val="superscript"/>
          <w:lang w:val="en-GB"/>
        </w:rPr>
        <w:t>24,30</w:t>
      </w:r>
    </w:p>
    <w:p w14:paraId="7EBB720F" w14:textId="77777777" w:rsidR="009767B6" w:rsidRPr="009767B6" w:rsidRDefault="009767B6" w:rsidP="009767B6">
      <w:pPr>
        <w:divId w:val="935526654"/>
        <w:rPr>
          <w:lang w:val="en-GB"/>
        </w:rPr>
      </w:pPr>
      <w:r w:rsidRPr="009767B6">
        <w:rPr>
          <w:lang w:val="en-GB"/>
        </w:rPr>
        <w:t>However, there have been continuing issues with the accuracy of reporting of Aboriginal and Torres Strait Islander status in population (</w:t>
      </w:r>
      <w:proofErr w:type="gramStart"/>
      <w:r w:rsidRPr="009767B6">
        <w:rPr>
          <w:lang w:val="en-GB"/>
        </w:rPr>
        <w:t>e.g.</w:t>
      </w:r>
      <w:proofErr w:type="gramEnd"/>
      <w:r w:rsidRPr="009767B6">
        <w:rPr>
          <w:lang w:val="en-GB"/>
        </w:rPr>
        <w:t xml:space="preserve"> census, mortality data) and administrative (e.g. hospitalisation, vaccination, disease notification) data.</w:t>
      </w:r>
      <w:r w:rsidRPr="009767B6">
        <w:rPr>
          <w:vertAlign w:val="superscript"/>
          <w:lang w:val="en-GB"/>
        </w:rPr>
        <w:t>31,32</w:t>
      </w:r>
      <w:r w:rsidRPr="009767B6">
        <w:rPr>
          <w:lang w:val="en-GB"/>
        </w:rPr>
        <w:t xml:space="preserve"> This limits the comparability and interpretation of measures of disease burden in Aboriginal and Torres Strait Islander peoples.</w:t>
      </w:r>
    </w:p>
    <w:p w14:paraId="650CC41D" w14:textId="2ECAC1E9" w:rsidR="009767B6" w:rsidRDefault="009767B6" w:rsidP="009767B6">
      <w:pPr>
        <w:pStyle w:val="Heading3"/>
        <w:divId w:val="935526654"/>
        <w:rPr>
          <w:lang w:val="en-GB"/>
        </w:rPr>
      </w:pPr>
      <w:r w:rsidRPr="009767B6">
        <w:rPr>
          <w:lang w:val="en-GB"/>
        </w:rPr>
        <w:t>Trends in pregnant women and people with underlying medical conditions</w:t>
      </w:r>
    </w:p>
    <w:p w14:paraId="38C11676" w14:textId="58A6F2F0" w:rsidR="009767B6" w:rsidRPr="009767B6" w:rsidRDefault="009767B6" w:rsidP="009767B6">
      <w:pPr>
        <w:divId w:val="935526654"/>
        <w:rPr>
          <w:lang w:val="en-GB"/>
        </w:rPr>
      </w:pPr>
      <w:r w:rsidRPr="009767B6">
        <w:rPr>
          <w:lang w:val="en-GB"/>
        </w:rPr>
        <w:t>Compared with the general population, pregnant</w:t>
      </w:r>
      <w:r>
        <w:rPr>
          <w:lang w:val="en-GB"/>
        </w:rPr>
        <w:t xml:space="preserve"> </w:t>
      </w:r>
      <w:r w:rsidRPr="009767B6">
        <w:rPr>
          <w:lang w:val="en-GB"/>
        </w:rPr>
        <w:t>women and their infants are at increased risk of complications from influenza, including influenza-related hospitalisation</w:t>
      </w:r>
      <w:r w:rsidRPr="009767B6">
        <w:rPr>
          <w:vertAlign w:val="superscript"/>
          <w:lang w:val="en-GB"/>
        </w:rPr>
        <w:t>33,34</w:t>
      </w:r>
      <w:r w:rsidRPr="009767B6">
        <w:rPr>
          <w:lang w:val="en-GB"/>
        </w:rPr>
        <w:t xml:space="preserve"> and adverse birth outcomes such as low birth weight, stillbirth, and preterm delivery.</w:t>
      </w:r>
      <w:r w:rsidRPr="009767B6">
        <w:rPr>
          <w:vertAlign w:val="superscript"/>
          <w:lang w:val="en-GB"/>
        </w:rPr>
        <w:t>35–37</w:t>
      </w:r>
      <w:r w:rsidRPr="009767B6">
        <w:rPr>
          <w:lang w:val="en-GB"/>
        </w:rPr>
        <w:t xml:space="preserve"> In a 2019 review of published studies, pregnancy was associated with a 6.8-fold increase in risk (95% CI: 6.02–7.68) of influenza-related hospitalisation.</w:t>
      </w:r>
      <w:r w:rsidRPr="009767B6">
        <w:rPr>
          <w:vertAlign w:val="superscript"/>
          <w:lang w:val="en-GB"/>
        </w:rPr>
        <w:t>33</w:t>
      </w:r>
      <w:r w:rsidRPr="009767B6">
        <w:rPr>
          <w:lang w:val="en-GB"/>
        </w:rPr>
        <w:t xml:space="preserve"> However, due to a lack of nationally representative data, influenza disease burden in pregnant women in Australia largely remains unclear.</w:t>
      </w:r>
    </w:p>
    <w:p w14:paraId="1A6FF514" w14:textId="429E3519" w:rsidR="003E219A" w:rsidRDefault="009767B6" w:rsidP="003E219A">
      <w:pPr>
        <w:rPr>
          <w:vertAlign w:val="superscript"/>
          <w:lang w:val="en-GB"/>
        </w:rPr>
      </w:pPr>
      <w:r w:rsidRPr="009767B6">
        <w:rPr>
          <w:lang w:val="en-GB"/>
        </w:rPr>
        <w:t>Similarly, the accurate estimate of influenza disease burden among Australians with underlying medical conditions is uncertain. However, a wealth of evidence suggests elevated risk of hospitalisation in at-risk populations.</w:t>
      </w:r>
      <w:r w:rsidRPr="009767B6">
        <w:rPr>
          <w:vertAlign w:val="superscript"/>
          <w:lang w:val="en-GB"/>
        </w:rPr>
        <w:t>38–41</w:t>
      </w:r>
      <w:r w:rsidRPr="009767B6">
        <w:rPr>
          <w:lang w:val="en-GB"/>
        </w:rPr>
        <w:t xml:space="preserve"> A 2013 review of published studies estimated odds ratios for developing severe influenza in those with cardiovascular disease or neuromuscular disease, compared to those without, to be 1.97 (95% CI: 1.06–3.67) and 3.21 (95% CI: 1.84–5.58) respectively.</w:t>
      </w:r>
      <w:r w:rsidRPr="009767B6">
        <w:rPr>
          <w:vertAlign w:val="superscript"/>
          <w:lang w:val="en-GB"/>
        </w:rPr>
        <w:t>41</w:t>
      </w:r>
      <w:r w:rsidR="003E219A">
        <w:rPr>
          <w:vertAlign w:val="superscript"/>
          <w:lang w:val="en-GB"/>
        </w:rPr>
        <w:br w:type="page"/>
      </w:r>
    </w:p>
    <w:p w14:paraId="008E1F60" w14:textId="09C89557" w:rsidR="009767B6" w:rsidRDefault="008A4E84" w:rsidP="008A4E84">
      <w:pPr>
        <w:pStyle w:val="Heading1"/>
        <w:divId w:val="935526654"/>
        <w:rPr>
          <w:lang w:val="en-GB"/>
        </w:rPr>
      </w:pPr>
      <w:r>
        <w:rPr>
          <w:lang w:val="en-GB"/>
        </w:rPr>
        <w:lastRenderedPageBreak/>
        <w:t>Influenza vaccines</w:t>
      </w:r>
    </w:p>
    <w:p w14:paraId="7A5ADC1A" w14:textId="560F6A2F" w:rsidR="009767B6" w:rsidRDefault="003E219A" w:rsidP="008A4E84">
      <w:pPr>
        <w:pStyle w:val="Heading2"/>
        <w:divId w:val="935526654"/>
        <w:rPr>
          <w:lang w:val="en-GB"/>
        </w:rPr>
      </w:pPr>
      <w:r w:rsidRPr="003E219A">
        <w:rPr>
          <w:lang w:val="en-GB"/>
        </w:rPr>
        <w:t>Overview of existing influenza vaccines</w:t>
      </w:r>
    </w:p>
    <w:p w14:paraId="3B06EAB1" w14:textId="06D522E4" w:rsidR="009767B6" w:rsidRDefault="003E219A" w:rsidP="003E219A">
      <w:pPr>
        <w:pStyle w:val="Heading3"/>
        <w:divId w:val="935526654"/>
        <w:rPr>
          <w:lang w:val="en-GB"/>
        </w:rPr>
      </w:pPr>
      <w:r w:rsidRPr="003E219A">
        <w:rPr>
          <w:lang w:val="en-GB"/>
        </w:rPr>
        <w:t>Vaccines currently in use in Australia</w:t>
      </w:r>
    </w:p>
    <w:p w14:paraId="5EAB40DD" w14:textId="77777777" w:rsidR="003E219A" w:rsidRPr="003E219A" w:rsidRDefault="003E219A" w:rsidP="003E219A">
      <w:pPr>
        <w:divId w:val="935526654"/>
        <w:rPr>
          <w:lang w:val="en-GB"/>
        </w:rPr>
      </w:pPr>
      <w:r w:rsidRPr="003E219A">
        <w:rPr>
          <w:lang w:val="en-GB"/>
        </w:rPr>
        <w:t>Inactivated influenza vaccines (IIV) are the most widely used influenza vaccine globally, with virus from either embryonated chicken eggs (egg-based) or cell culture (cell-based). The standard-dose vaccines contain 15 µg of HA per strain per dose with no adjuvant. There is currently a lack of high-certainty evidence showing difference in effectiveness between egg- and cell-based vaccines, while concerns exist that egg-based vaccines may acquire mutations during manufacture which could cause circulating strain mismatch.</w:t>
      </w:r>
      <w:r w:rsidRPr="003E219A">
        <w:rPr>
          <w:vertAlign w:val="superscript"/>
          <w:lang w:val="en-GB"/>
        </w:rPr>
        <w:t>42–</w:t>
      </w:r>
      <w:proofErr w:type="gramStart"/>
      <w:r w:rsidRPr="003E219A">
        <w:rPr>
          <w:vertAlign w:val="superscript"/>
          <w:lang w:val="en-GB"/>
        </w:rPr>
        <w:t>45</w:t>
      </w:r>
      <w:proofErr w:type="gramEnd"/>
    </w:p>
    <w:p w14:paraId="6AE434E6" w14:textId="77777777" w:rsidR="003E219A" w:rsidRPr="003E219A" w:rsidRDefault="003E219A" w:rsidP="003E219A">
      <w:pPr>
        <w:divId w:val="935526654"/>
        <w:rPr>
          <w:lang w:val="en-GB"/>
        </w:rPr>
      </w:pPr>
      <w:r w:rsidRPr="003E219A">
        <w:rPr>
          <w:lang w:val="en-GB"/>
        </w:rPr>
        <w:t>The introduction of a cell-based vaccine has helped diversify supply lines to overcome the potential impact of egg shortages, particularly when rapid up-scaling of vaccine production is needed (e.g., during an influenza pandemic). Egg-based IIVs are also produced either using high-dose HA content (60 µg of HA per strain with no adjuvant) or as an adjuvanted formulation (15 µg of HA per strain with the MF59 adjuvant), which elicit a greater immune response than the standard vaccines. While most standard IIVs can be given from 6 months of age, enhanced vaccines are targeted to older adults (e.g., ≥ 65 years of age) to mitigate the effect of immuno-senescence.</w:t>
      </w:r>
    </w:p>
    <w:p w14:paraId="58E13B7C" w14:textId="6803E874" w:rsidR="009767B6" w:rsidRDefault="003E219A" w:rsidP="003E219A">
      <w:pPr>
        <w:pStyle w:val="Heading3"/>
        <w:divId w:val="935526654"/>
        <w:rPr>
          <w:lang w:val="en-GB"/>
        </w:rPr>
      </w:pPr>
      <w:r w:rsidRPr="003E219A">
        <w:rPr>
          <w:lang w:val="en-GB"/>
        </w:rPr>
        <w:t>Vaccines currently not available for use in Australia</w:t>
      </w:r>
    </w:p>
    <w:p w14:paraId="19514E73" w14:textId="77777777" w:rsidR="003E219A" w:rsidRPr="003E219A" w:rsidRDefault="003E219A" w:rsidP="003E219A">
      <w:pPr>
        <w:divId w:val="935526654"/>
        <w:rPr>
          <w:lang w:val="en-GB"/>
        </w:rPr>
      </w:pPr>
      <w:r w:rsidRPr="003E219A">
        <w:rPr>
          <w:lang w:val="en-GB"/>
        </w:rPr>
        <w:t>Live attenuated influenza vaccine (LAIV), for intra-nasal administration, mimics natural infection without causing disease.</w:t>
      </w:r>
      <w:r w:rsidRPr="003E219A">
        <w:rPr>
          <w:vertAlign w:val="superscript"/>
          <w:lang w:val="en-GB"/>
        </w:rPr>
        <w:t>46</w:t>
      </w:r>
      <w:r w:rsidRPr="003E219A">
        <w:rPr>
          <w:lang w:val="en-GB"/>
        </w:rPr>
        <w:t xml:space="preserve"> Advantages of LAIV include a good safety profile and ease and acceptability of needleless administration among children and their parents/carers.</w:t>
      </w:r>
      <w:r w:rsidRPr="003E219A">
        <w:rPr>
          <w:vertAlign w:val="superscript"/>
          <w:lang w:val="en-GB"/>
        </w:rPr>
        <w:t>47</w:t>
      </w:r>
    </w:p>
    <w:p w14:paraId="1022D378" w14:textId="57741576" w:rsidR="003E219A" w:rsidRDefault="003E219A" w:rsidP="0072438C">
      <w:pPr>
        <w:divId w:val="935526654"/>
        <w:rPr>
          <w:lang w:val="en-GB"/>
        </w:rPr>
      </w:pPr>
      <w:r w:rsidRPr="003E219A">
        <w:rPr>
          <w:lang w:val="en-GB"/>
        </w:rPr>
        <w:t>Studies have reported mixed results on the effectiveness of LAIV used in the northern hemisphere. Early studies, prior to 2013, showed higher effectiveness of LAIV than of IIV in children aged 6 months to 17</w:t>
      </w:r>
      <w:r>
        <w:rPr>
          <w:lang w:val="en-GB"/>
        </w:rPr>
        <w:t> </w:t>
      </w:r>
      <w:r w:rsidRPr="003E219A">
        <w:rPr>
          <w:lang w:val="en-GB"/>
        </w:rPr>
        <w:t>years.</w:t>
      </w:r>
      <w:r w:rsidRPr="003E219A">
        <w:rPr>
          <w:vertAlign w:val="superscript"/>
          <w:lang w:val="en-GB"/>
        </w:rPr>
        <w:t>48,49</w:t>
      </w:r>
      <w:r w:rsidRPr="003E219A">
        <w:rPr>
          <w:lang w:val="en-GB"/>
        </w:rPr>
        <w:t xml:space="preserve"> However, a lower VE of LAIV against A(H1N1)pdm09 was reported in the United States of America (USA) during the 2013–2016 seasons,</w:t>
      </w:r>
      <w:r w:rsidRPr="003E219A">
        <w:rPr>
          <w:vertAlign w:val="superscript"/>
          <w:lang w:val="en-GB"/>
        </w:rPr>
        <w:t>50,51</w:t>
      </w:r>
      <w:r w:rsidRPr="003E219A">
        <w:rPr>
          <w:lang w:val="en-GB"/>
        </w:rPr>
        <w:t xml:space="preserve"> while other countries did not identify a significant reduction in VE during the same period.</w:t>
      </w:r>
      <w:r w:rsidRPr="003E219A">
        <w:rPr>
          <w:vertAlign w:val="superscript"/>
          <w:lang w:val="en-GB"/>
        </w:rPr>
        <w:t>52</w:t>
      </w:r>
      <w:r w:rsidRPr="003E219A">
        <w:rPr>
          <w:lang w:val="en-GB"/>
        </w:rPr>
        <w:t xml:space="preserve"> The A(H1N1)pdm09 component in LAIV was replaced with a new strain in 2018, but there is limited data on the effectiveness of the new LAIV.</w:t>
      </w:r>
      <w:r w:rsidRPr="003E219A">
        <w:rPr>
          <w:vertAlign w:val="superscript"/>
          <w:lang w:val="en-GB"/>
        </w:rPr>
        <w:t>50,53</w:t>
      </w:r>
      <w:r w:rsidRPr="003E219A">
        <w:rPr>
          <w:lang w:val="en-GB"/>
        </w:rPr>
        <w:t xml:space="preserve"> The LAIV has been licensed in other countries, with some, such as the United Kingdom (UK), preferentially recommending its use in children.</w:t>
      </w:r>
      <w:r w:rsidRPr="003E219A">
        <w:rPr>
          <w:vertAlign w:val="superscript"/>
          <w:lang w:val="en-GB"/>
        </w:rPr>
        <w:t>48</w:t>
      </w:r>
      <w:r w:rsidRPr="003E219A">
        <w:rPr>
          <w:lang w:val="en-GB"/>
        </w:rPr>
        <w:t xml:space="preserve"> In Australia, </w:t>
      </w:r>
      <w:proofErr w:type="spellStart"/>
      <w:r w:rsidRPr="003E219A">
        <w:rPr>
          <w:lang w:val="en-GB"/>
        </w:rPr>
        <w:t>FluMist</w:t>
      </w:r>
      <w:proofErr w:type="spellEnd"/>
      <w:r w:rsidRPr="003E219A">
        <w:rPr>
          <w:lang w:val="en-GB"/>
        </w:rPr>
        <w:t>, the first LAIV, was registered by the Therapeutic Goods Administration (TGA) in 2016, though the vaccine has not yet been supplied and is currently not produced nor available for use in the southern hemisphere.</w:t>
      </w:r>
    </w:p>
    <w:p w14:paraId="6994C919" w14:textId="77777777" w:rsidR="003E219A" w:rsidRPr="003E219A" w:rsidRDefault="003E219A" w:rsidP="003E219A">
      <w:pPr>
        <w:divId w:val="935526654"/>
        <w:rPr>
          <w:lang w:val="en-GB"/>
        </w:rPr>
      </w:pPr>
      <w:r w:rsidRPr="003E219A">
        <w:rPr>
          <w:lang w:val="en-GB"/>
        </w:rPr>
        <w:t>Recombinant influenza vaccine (RIV), another vaccine type that is not yet available for use in Australia, was developed by using recombinant DNA technologies to produce influenza HA in cell culture, with 45 µg of HA per strain per dose. RIV has been used in the USA for individuals aged ≥ 18 years since the 2013–2014 season</w:t>
      </w:r>
      <w:r w:rsidRPr="003E219A">
        <w:rPr>
          <w:vertAlign w:val="superscript"/>
          <w:lang w:val="en-GB"/>
        </w:rPr>
        <w:t>54</w:t>
      </w:r>
      <w:r w:rsidRPr="003E219A">
        <w:rPr>
          <w:lang w:val="en-GB"/>
        </w:rPr>
        <w:t xml:space="preserve"> and is now preferentially recommended for adults aged ≥ 65 years.</w:t>
      </w:r>
      <w:r w:rsidRPr="003E219A">
        <w:rPr>
          <w:vertAlign w:val="superscript"/>
          <w:lang w:val="en-GB"/>
        </w:rPr>
        <w:t>55</w:t>
      </w:r>
      <w:r w:rsidRPr="003E219A">
        <w:rPr>
          <w:lang w:val="en-GB"/>
        </w:rPr>
        <w:t xml:space="preserve"> While studies examining comparative VE of RIV versus IIV are currently limited, some data suggest potentially higher VE for RIV.</w:t>
      </w:r>
      <w:r w:rsidRPr="003E219A">
        <w:rPr>
          <w:vertAlign w:val="superscript"/>
          <w:lang w:val="en-GB"/>
        </w:rPr>
        <w:t>56</w:t>
      </w:r>
      <w:r w:rsidRPr="003E219A">
        <w:rPr>
          <w:lang w:val="en-GB"/>
        </w:rPr>
        <w:t xml:space="preserve"> Other potential benefits of RIV include a faster manufacturing time and avoidance of vaccine strain </w:t>
      </w:r>
      <w:r w:rsidRPr="003E219A">
        <w:rPr>
          <w:lang w:val="en-GB"/>
        </w:rPr>
        <w:lastRenderedPageBreak/>
        <w:t>mutations during manufacture.</w:t>
      </w:r>
      <w:r w:rsidRPr="003E219A">
        <w:rPr>
          <w:vertAlign w:val="superscript"/>
          <w:lang w:val="en-GB"/>
        </w:rPr>
        <w:t xml:space="preserve">57 </w:t>
      </w:r>
      <w:r w:rsidRPr="003E219A">
        <w:rPr>
          <w:lang w:val="en-GB"/>
        </w:rPr>
        <w:t xml:space="preserve">In Australia, the first RIV, </w:t>
      </w:r>
      <w:proofErr w:type="spellStart"/>
      <w:r w:rsidRPr="003E219A">
        <w:rPr>
          <w:lang w:val="en-GB"/>
        </w:rPr>
        <w:t>Flublok</w:t>
      </w:r>
      <w:proofErr w:type="spellEnd"/>
      <w:r w:rsidRPr="003E219A">
        <w:rPr>
          <w:lang w:val="en-GB"/>
        </w:rPr>
        <w:t>, was registered in May 2021 for individuals aged ≥ 18 years.</w:t>
      </w:r>
    </w:p>
    <w:p w14:paraId="0BF3AD6F" w14:textId="77777777" w:rsidR="003E219A" w:rsidRPr="003E219A" w:rsidRDefault="003E219A" w:rsidP="003E219A">
      <w:pPr>
        <w:divId w:val="935526654"/>
        <w:rPr>
          <w:lang w:val="en-GB"/>
        </w:rPr>
      </w:pPr>
      <w:r w:rsidRPr="003E219A">
        <w:rPr>
          <w:lang w:val="en-GB"/>
        </w:rPr>
        <w:t>There are also new types of influenza vaccines currently in development. These include new adjuvanted vaccines, combination vaccines for influenza and other respiratory diseases (</w:t>
      </w:r>
      <w:proofErr w:type="gramStart"/>
      <w:r w:rsidRPr="003E219A">
        <w:rPr>
          <w:lang w:val="en-GB"/>
        </w:rPr>
        <w:t>e.g.</w:t>
      </w:r>
      <w:proofErr w:type="gramEnd"/>
      <w:r w:rsidRPr="003E219A">
        <w:rPr>
          <w:lang w:val="en-GB"/>
        </w:rPr>
        <w:t xml:space="preserve"> COVID-19, RSV), and vaccines utilising new platform technologies like mRNA.</w:t>
      </w:r>
    </w:p>
    <w:p w14:paraId="53BAA647" w14:textId="0FD56E0E" w:rsidR="003E219A" w:rsidRDefault="003E219A" w:rsidP="003E219A">
      <w:pPr>
        <w:pStyle w:val="Heading2"/>
        <w:divId w:val="935526654"/>
        <w:rPr>
          <w:lang w:val="en-GB"/>
        </w:rPr>
      </w:pPr>
      <w:r w:rsidRPr="003E219A">
        <w:rPr>
          <w:lang w:val="en-GB"/>
        </w:rPr>
        <w:t>Duration of immunity, general VEs, and safety</w:t>
      </w:r>
    </w:p>
    <w:p w14:paraId="3960DEBA" w14:textId="265813DC" w:rsidR="003E219A" w:rsidRPr="003E219A" w:rsidRDefault="003E219A" w:rsidP="003E219A">
      <w:pPr>
        <w:divId w:val="935526654"/>
        <w:rPr>
          <w:lang w:val="en-GB"/>
        </w:rPr>
      </w:pPr>
      <w:r w:rsidRPr="003E219A">
        <w:rPr>
          <w:lang w:val="en-GB"/>
        </w:rPr>
        <w:t>The duration of immunity following influenza vaccination is generally less than a year, with waning levels of vaccine-induced antibodies commencing from 3 to 4 months after vaccination.</w:t>
      </w:r>
      <w:r w:rsidRPr="003E219A">
        <w:rPr>
          <w:vertAlign w:val="superscript"/>
          <w:lang w:val="en-GB"/>
        </w:rPr>
        <w:t>58,59</w:t>
      </w:r>
      <w:r w:rsidRPr="003E219A">
        <w:rPr>
          <w:lang w:val="en-GB"/>
        </w:rPr>
        <w:t xml:space="preserve"> In addition, circulating strains can vary from year to year, potentially resulting in the inclusion of new vaccine virus strains in each respective northern and/or southern hemisphere formulation annually.</w:t>
      </w:r>
      <w:r w:rsidRPr="003E219A">
        <w:rPr>
          <w:vertAlign w:val="superscript"/>
          <w:lang w:val="en-GB"/>
        </w:rPr>
        <w:t>58–63</w:t>
      </w:r>
      <w:r w:rsidRPr="003E219A">
        <w:rPr>
          <w:lang w:val="en-GB"/>
        </w:rPr>
        <w:t xml:space="preserve"> Influenza VE is affected by factors such as the recipient’s age, the level of strain match between the vaccine and circulating virus, as well as the type of vaccine and the timing of vaccination. Additionally, there are limitations with each of the different methods and surveillance systems from which VE estimates are derived, and direct comparison between them may not be appropriate. Overall, influenza vaccines are moderately effective at preventing various clinical outcomes. During the period 2016–2019, VE estimates ranged from 13% to 42% from FluCAN data on hospitalisations, and 33% to 68% from ASPREN data on GP visits (Appendix A, Table A.1).</w:t>
      </w:r>
    </w:p>
    <w:p w14:paraId="544D4FC0" w14:textId="77777777" w:rsidR="003E219A" w:rsidRPr="003E219A" w:rsidRDefault="003E219A" w:rsidP="003E219A">
      <w:pPr>
        <w:divId w:val="935526654"/>
        <w:rPr>
          <w:lang w:val="en-GB"/>
        </w:rPr>
      </w:pPr>
      <w:r w:rsidRPr="003E219A">
        <w:rPr>
          <w:lang w:val="en-GB"/>
        </w:rPr>
        <w:t>Frequencies of local adverse events (AEs) following standard intramuscular influenza vaccination vary greatly by vaccine type and age of the recipient, but overall, 20–80% of people experience induration, swelling, redness, and pain at the injection site.</w:t>
      </w:r>
      <w:r w:rsidRPr="003E219A">
        <w:rPr>
          <w:vertAlign w:val="superscript"/>
          <w:lang w:val="en-GB"/>
        </w:rPr>
        <w:t>64–67</w:t>
      </w:r>
      <w:r w:rsidRPr="003E219A">
        <w:rPr>
          <w:lang w:val="en-GB"/>
        </w:rPr>
        <w:t xml:space="preserve"> One to ten percent of people who received standard IIVs can also experience systemic AEs such as fever, malaise, and myalgia which may last one to two days.</w:t>
      </w:r>
      <w:r w:rsidRPr="003E219A">
        <w:rPr>
          <w:vertAlign w:val="superscript"/>
          <w:lang w:val="en-GB"/>
        </w:rPr>
        <w:t>27,64–66,68</w:t>
      </w:r>
      <w:r w:rsidRPr="003E219A">
        <w:rPr>
          <w:lang w:val="en-GB"/>
        </w:rPr>
        <w:t xml:space="preserve"> The risk of anaphylaxis, a severe vaccine-associated allergic reaction, to influenza vaccine is very rare, with the estimation of 1.35 per million vaccine doses for trivalent IIVs.</w:t>
      </w:r>
      <w:r w:rsidRPr="003E219A">
        <w:rPr>
          <w:vertAlign w:val="superscript"/>
          <w:lang w:val="en-GB"/>
        </w:rPr>
        <w:t>69,70</w:t>
      </w:r>
      <w:r w:rsidRPr="003E219A">
        <w:rPr>
          <w:lang w:val="en-GB"/>
        </w:rPr>
        <w:t xml:space="preserve"> An association with Guillain–Barré syndrome (GBS) was noted after a small increase in risk of GBS was reported following IIV administration in 1976. Since then, close surveillance has shown that vaccine-attributable GBS occurs, at most, at a very low rate of up to 1 in 1 million doses of influenza vaccine.</w:t>
      </w:r>
      <w:r w:rsidRPr="003E219A">
        <w:rPr>
          <w:vertAlign w:val="superscript"/>
          <w:lang w:val="en-GB"/>
        </w:rPr>
        <w:t>71</w:t>
      </w:r>
      <w:r w:rsidRPr="003E219A">
        <w:rPr>
          <w:lang w:val="en-GB"/>
        </w:rPr>
        <w:t xml:space="preserve"> However, the risk of GBS has been shown to be 15 times higher following influenza infection than the risk following influenza vaccination.</w:t>
      </w:r>
      <w:r w:rsidRPr="003E219A">
        <w:rPr>
          <w:vertAlign w:val="superscript"/>
          <w:lang w:val="en-GB"/>
        </w:rPr>
        <w:t>72</w:t>
      </w:r>
    </w:p>
    <w:p w14:paraId="23BE5BA0" w14:textId="48845E41" w:rsidR="003E219A" w:rsidRDefault="003E219A" w:rsidP="003E219A">
      <w:pPr>
        <w:pStyle w:val="Heading3"/>
        <w:divId w:val="935526654"/>
        <w:rPr>
          <w:lang w:val="en-GB"/>
        </w:rPr>
      </w:pPr>
      <w:r w:rsidRPr="003E219A">
        <w:rPr>
          <w:lang w:val="en-GB"/>
        </w:rPr>
        <w:t>Selection of seasonal influenza vaccine compositions (WHO and AIVC recommendations)</w:t>
      </w:r>
    </w:p>
    <w:p w14:paraId="3E66FF6A" w14:textId="1061687E" w:rsidR="003E219A" w:rsidRDefault="003E219A" w:rsidP="003E219A">
      <w:pPr>
        <w:rPr>
          <w:lang w:val="en-GB"/>
        </w:rPr>
      </w:pPr>
      <w:r w:rsidRPr="003E219A">
        <w:rPr>
          <w:lang w:val="en-GB"/>
        </w:rPr>
        <w:t>Every September, the World Health Organization (WHO) provides recommendations on the composition of seasonal influenza vaccines for the countries in the southern hemisphere.</w:t>
      </w:r>
      <w:r w:rsidRPr="003E219A">
        <w:rPr>
          <w:vertAlign w:val="superscript"/>
          <w:lang w:val="en-GB"/>
        </w:rPr>
        <w:t>73</w:t>
      </w:r>
      <w:r w:rsidRPr="003E219A">
        <w:rPr>
          <w:lang w:val="en-GB"/>
        </w:rPr>
        <w:t xml:space="preserve"> Based on the WHO recommendation and laboratory data review, the Australian Influenza Vaccine Committee (AIVC) provides advice to the TGA on the strain composition for Australian influenza vaccines, which are then adopted by all vaccine manufacturers. Implications for vaccine composition, of the disappearance since 2020 of the B/Yamagata-lineage, are not yet known.</w:t>
      </w:r>
      <w:r>
        <w:rPr>
          <w:lang w:val="en-GB"/>
        </w:rPr>
        <w:br w:type="page"/>
      </w:r>
    </w:p>
    <w:p w14:paraId="7EFDEDC3" w14:textId="2A4F5897" w:rsidR="003E219A" w:rsidRPr="003E219A" w:rsidRDefault="003E219A" w:rsidP="003E219A">
      <w:pPr>
        <w:pStyle w:val="Heading1"/>
        <w:divId w:val="935526654"/>
        <w:rPr>
          <w:lang w:val="en-GB"/>
        </w:rPr>
      </w:pPr>
      <w:r w:rsidRPr="003E219A">
        <w:rPr>
          <w:lang w:val="en-GB"/>
        </w:rPr>
        <w:lastRenderedPageBreak/>
        <w:t>Vaccination program for seasonal influenza in Australia</w:t>
      </w:r>
    </w:p>
    <w:p w14:paraId="6C0D8079" w14:textId="40F8B627" w:rsidR="003E219A" w:rsidRDefault="003E219A" w:rsidP="003E219A">
      <w:pPr>
        <w:pStyle w:val="Heading2"/>
        <w:divId w:val="935526654"/>
        <w:rPr>
          <w:lang w:val="en-GB"/>
        </w:rPr>
      </w:pPr>
      <w:r w:rsidRPr="003E219A">
        <w:rPr>
          <w:lang w:val="en-GB"/>
        </w:rPr>
        <w:t>Overview of ATAGI recommendations in 2023</w:t>
      </w:r>
    </w:p>
    <w:p w14:paraId="5515C80F" w14:textId="77777777" w:rsidR="003E219A" w:rsidRPr="003E219A" w:rsidRDefault="003E219A" w:rsidP="003E219A">
      <w:pPr>
        <w:divId w:val="935526654"/>
        <w:rPr>
          <w:lang w:val="en-GB"/>
        </w:rPr>
      </w:pPr>
      <w:r w:rsidRPr="003E219A">
        <w:rPr>
          <w:lang w:val="en-GB"/>
        </w:rPr>
        <w:t>ATAGI routinely publishes an annual statement covering clinical advice for immunisation providers on the administration of seasonal influenza vaccines; this includes updates and key changes to available vaccines, timing of vaccination, and eligibility for the National Immunisation Program (NIP)-funded vaccination. This statement is generally published around February–March ahead of the influenza season.</w:t>
      </w:r>
    </w:p>
    <w:p w14:paraId="3FA8D9DD" w14:textId="77777777" w:rsidR="003E219A" w:rsidRPr="003E219A" w:rsidRDefault="003E219A" w:rsidP="003E219A">
      <w:pPr>
        <w:divId w:val="935526654"/>
        <w:rPr>
          <w:lang w:val="en-GB"/>
        </w:rPr>
      </w:pPr>
      <w:r w:rsidRPr="003E219A">
        <w:rPr>
          <w:lang w:val="en-GB"/>
        </w:rPr>
        <w:t>For the 2023 season, several brands of egg- and cell-based IIVs are registered for use in children and adults. Two higher-immunogenicity vaccines, the adjuvanted vaccine and the high-dose vaccine respectively, are available and preferentially recommended over the standard vaccine for people aged ≥ 65 years.</w:t>
      </w:r>
      <w:r w:rsidRPr="003E219A">
        <w:rPr>
          <w:vertAlign w:val="superscript"/>
          <w:lang w:val="en-GB"/>
        </w:rPr>
        <w:t>74</w:t>
      </w:r>
      <w:r w:rsidRPr="003E219A">
        <w:rPr>
          <w:lang w:val="en-GB"/>
        </w:rPr>
        <w:t xml:space="preserve"> Currently, all Australians ≥ 6 months of age are recommended to receive annual influenza vaccine before the influenza season begins. Details on registered influenza vaccines by age are provided in the annual ATAGI statement on influenza vaccine.</w:t>
      </w:r>
      <w:r w:rsidRPr="003E219A">
        <w:rPr>
          <w:vertAlign w:val="superscript"/>
          <w:lang w:val="en-GB"/>
        </w:rPr>
        <w:t>74</w:t>
      </w:r>
    </w:p>
    <w:p w14:paraId="5DBF47BC" w14:textId="39FA5608" w:rsidR="003E219A" w:rsidRDefault="003E219A" w:rsidP="003E219A">
      <w:pPr>
        <w:pStyle w:val="Heading2"/>
        <w:divId w:val="935526654"/>
        <w:rPr>
          <w:lang w:val="en-GB"/>
        </w:rPr>
      </w:pPr>
      <w:r w:rsidRPr="003E219A">
        <w:rPr>
          <w:lang w:val="en-GB"/>
        </w:rPr>
        <w:t>Eligibility for the funded influenza vaccination programs</w:t>
      </w:r>
    </w:p>
    <w:p w14:paraId="074AE539" w14:textId="77777777" w:rsidR="003E219A" w:rsidRPr="003E219A" w:rsidRDefault="003E219A" w:rsidP="003E219A">
      <w:pPr>
        <w:divId w:val="935526654"/>
        <w:rPr>
          <w:lang w:val="en-GB"/>
        </w:rPr>
      </w:pPr>
      <w:r w:rsidRPr="003E219A">
        <w:rPr>
          <w:lang w:val="en-GB"/>
        </w:rPr>
        <w:t>Individuals who are most at risk of serious influenza are eligible for free annual influenza vaccines through the NIP. These eligible people include children aged 6 months to &lt; 5 years, adults aged ≥ 65 years, Aboriginal and Torres Strait Islander peoples aged ≥ 6 months, pregnant women, and people aged ≥ 6 months with specified medical conditions (Appendix A, Table A.2). Jurisdictional based immunisation schemes may also provide funded influenza vaccination to people who are deemed at higher risk or for whom vaccination is recommended to protect at-risk populations in occupational or other settings (</w:t>
      </w:r>
      <w:proofErr w:type="gramStart"/>
      <w:r w:rsidRPr="003E219A">
        <w:rPr>
          <w:lang w:val="en-GB"/>
        </w:rPr>
        <w:t>e.g.</w:t>
      </w:r>
      <w:proofErr w:type="gramEnd"/>
      <w:r w:rsidRPr="003E219A">
        <w:rPr>
          <w:lang w:val="en-GB"/>
        </w:rPr>
        <w:t xml:space="preserve"> healthcare workers).</w:t>
      </w:r>
      <w:r w:rsidRPr="003E219A">
        <w:rPr>
          <w:vertAlign w:val="superscript"/>
          <w:lang w:val="en-GB"/>
        </w:rPr>
        <w:t>75</w:t>
      </w:r>
    </w:p>
    <w:p w14:paraId="21D1DAF2" w14:textId="3C320854" w:rsidR="003E219A" w:rsidRDefault="003E219A" w:rsidP="003E219A">
      <w:pPr>
        <w:pStyle w:val="Heading2"/>
        <w:divId w:val="935526654"/>
        <w:rPr>
          <w:lang w:val="en-GB"/>
        </w:rPr>
      </w:pPr>
      <w:r w:rsidRPr="003E219A">
        <w:rPr>
          <w:lang w:val="en-GB"/>
        </w:rPr>
        <w:t>Vaccine coverage and priority populations</w:t>
      </w:r>
    </w:p>
    <w:p w14:paraId="32CFEA7C" w14:textId="77777777" w:rsidR="003E219A" w:rsidRDefault="003E219A" w:rsidP="003E219A">
      <w:pPr>
        <w:divId w:val="935526654"/>
        <w:rPr>
          <w:lang w:val="en-GB"/>
        </w:rPr>
      </w:pPr>
      <w:r w:rsidRPr="003E219A">
        <w:rPr>
          <w:lang w:val="en-GB"/>
        </w:rPr>
        <w:t>In 2022, among the Australian population aged ≥ 6 months, influenza vaccine coverage recorded in the Australian Immunisation Register (AIR) was 38.7%. While reported influenza vaccine coverage in the whole population has increased from 26.2% in 2019,</w:t>
      </w:r>
      <w:r w:rsidRPr="003E219A">
        <w:rPr>
          <w:vertAlign w:val="superscript"/>
          <w:lang w:val="en-GB"/>
        </w:rPr>
        <w:t>76</w:t>
      </w:r>
      <w:r w:rsidRPr="003E219A">
        <w:rPr>
          <w:lang w:val="en-GB"/>
        </w:rPr>
        <w:t xml:space="preserve"> coverage in some age groups such as children aged 6 months – 4 years declined in 2021, despite the introduction of mandatory reporting of vaccine administration to the AIR in that year (Figure 1).</w:t>
      </w:r>
    </w:p>
    <w:p w14:paraId="4203FC66" w14:textId="77777777" w:rsidR="009D7749" w:rsidRDefault="009D7749" w:rsidP="009D7749">
      <w:pPr>
        <w:pStyle w:val="Heading3"/>
        <w:divId w:val="935526654"/>
        <w:rPr>
          <w:lang w:val="en-GB"/>
        </w:rPr>
      </w:pPr>
      <w:r w:rsidRPr="009D7749">
        <w:rPr>
          <w:lang w:val="en-GB"/>
        </w:rPr>
        <w:t>Coverage by age group</w:t>
      </w:r>
    </w:p>
    <w:p w14:paraId="2DF6B929" w14:textId="77777777" w:rsidR="009D7749" w:rsidRPr="009D7749" w:rsidRDefault="009D7749" w:rsidP="009D7749">
      <w:pPr>
        <w:divId w:val="935526654"/>
        <w:rPr>
          <w:lang w:val="en-GB"/>
        </w:rPr>
      </w:pPr>
      <w:r w:rsidRPr="009D7749">
        <w:rPr>
          <w:lang w:val="en-GB"/>
        </w:rPr>
        <w:t>Influenza vaccine coverage in children aged 6 months – 4 years had incremental improvements from below 10% in 2017 to approximately 45% in 2020, with the rollouts of the jurisdictionally based programs in 2018 and NIP in 2019 for all children in the age group.</w:t>
      </w:r>
      <w:r w:rsidRPr="009D7749">
        <w:rPr>
          <w:vertAlign w:val="superscript"/>
          <w:lang w:val="en-GB"/>
        </w:rPr>
        <w:t>76,81,82</w:t>
      </w:r>
      <w:r w:rsidRPr="009D7749">
        <w:rPr>
          <w:lang w:val="en-GB"/>
        </w:rPr>
        <w:t xml:space="preserve"> However, since the coverage drop to 24.5% in 2021, vaccine uptake in young children has not recovered to the pre-pandemic levels.</w:t>
      </w:r>
      <w:r w:rsidRPr="009D7749">
        <w:rPr>
          <w:vertAlign w:val="superscript"/>
          <w:lang w:val="en-GB"/>
        </w:rPr>
        <w:t>77</w:t>
      </w:r>
    </w:p>
    <w:p w14:paraId="6D2A2725" w14:textId="77777777" w:rsidR="009D7749" w:rsidRPr="009D7749" w:rsidRDefault="009D7749" w:rsidP="009D7749">
      <w:pPr>
        <w:divId w:val="935526654"/>
        <w:rPr>
          <w:vertAlign w:val="superscript"/>
          <w:lang w:val="en-GB"/>
        </w:rPr>
      </w:pPr>
      <w:r w:rsidRPr="009D7749">
        <w:rPr>
          <w:lang w:val="en-GB"/>
        </w:rPr>
        <w:lastRenderedPageBreak/>
        <w:t>Conversely, influenza vaccine coverage has been generally high in older adults, particularly among Aboriginal and Torres Strait Islander peoples.</w:t>
      </w:r>
      <w:r w:rsidRPr="009D7749">
        <w:rPr>
          <w:vertAlign w:val="superscript"/>
          <w:lang w:val="en-GB"/>
        </w:rPr>
        <w:t>76,81</w:t>
      </w:r>
      <w:r w:rsidRPr="009D7749">
        <w:rPr>
          <w:lang w:val="en-GB"/>
        </w:rPr>
        <w:t xml:space="preserve"> In 2022, nearly 70% of Australians aged ≥ 65 years had received influenza vaccine.</w:t>
      </w:r>
      <w:r w:rsidRPr="009D7749">
        <w:rPr>
          <w:vertAlign w:val="superscript"/>
          <w:lang w:val="en-GB"/>
        </w:rPr>
        <w:t>77</w:t>
      </w:r>
    </w:p>
    <w:p w14:paraId="649E77F8" w14:textId="17EE1926" w:rsidR="003E219A" w:rsidRDefault="009D7749" w:rsidP="009D7749">
      <w:pPr>
        <w:pStyle w:val="CDIFigure-Table-Title"/>
        <w:divId w:val="935526654"/>
      </w:pPr>
      <w:r w:rsidRPr="009D7749">
        <w:t>Figure 1: Influenza vaccine coverage among various age groups, Australia, 2018–2022</w:t>
      </w:r>
      <w:r w:rsidRPr="009D7749">
        <w:rPr>
          <w:vertAlign w:val="superscript"/>
        </w:rPr>
        <w:t>a</w:t>
      </w:r>
    </w:p>
    <w:p w14:paraId="332AA4EF" w14:textId="7871E970" w:rsidR="003E219A" w:rsidRDefault="009D7749" w:rsidP="009D7749">
      <w:pPr>
        <w:pStyle w:val="CDIFigure-Table-ImagePlaceholder"/>
        <w:divId w:val="935526654"/>
        <w:rPr>
          <w:lang w:val="en-GB"/>
        </w:rPr>
      </w:pPr>
      <w:r>
        <w:rPr>
          <w:noProof/>
          <w:lang w:val="en-GB"/>
          <w14:ligatures w14:val="none"/>
        </w:rPr>
        <w:drawing>
          <wp:inline distT="0" distB="0" distL="0" distR="0" wp14:anchorId="45156F04" wp14:editId="52B5BE9D">
            <wp:extent cx="6120765" cy="6697980"/>
            <wp:effectExtent l="0" t="0" r="0" b="7620"/>
            <wp:docPr id="2" name="Picture 2" descr="The figure illustrates the annual influenza vaccination coverage from 2018 to 2022 across five different age groups, each presented in a separate panel. The age groups include 6 months to 4 years, 5 to 14 years, 15 to 49 years, 50 to 64 years, and 65 years and above. Each panel has solid and dashed lines representing vaccine coverage in all Australians overall and Aboriginal and Torres Strait Islander peoples, respectively. The figure shows that vaccine coverage is approximately 60% to 70% in older adults, including in the Aboriginal and Torres Strait Islander population. However, vaccine coverage in young adults and children is lower, around 30-40%. Influenza vaccine coverage in the younger age groups declined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illustrates the annual influenza vaccination coverage from 2018 to 2022 across five different age groups, each presented in a separate panel. The age groups include 6 months to 4 years, 5 to 14 years, 15 to 49 years, 50 to 64 years, and 65 years and above. Each panel has solid and dashed lines representing vaccine coverage in all Australians overall and Aboriginal and Torres Strait Islander peoples, respectively. The figure shows that vaccine coverage is approximately 60% to 70% in older adults, including in the Aboriginal and Torres Strait Islander population. However, vaccine coverage in young adults and children is lower, around 30-40%. Influenza vaccine coverage in the younger age groups declined in 2021."/>
                    <pic:cNvPicPr/>
                  </pic:nvPicPr>
                  <pic:blipFill>
                    <a:blip r:embed="rId9">
                      <a:extLst>
                        <a:ext uri="{28A0092B-C50C-407E-A947-70E740481C1C}">
                          <a14:useLocalDpi xmlns:a14="http://schemas.microsoft.com/office/drawing/2010/main" val="0"/>
                        </a:ext>
                      </a:extLst>
                    </a:blip>
                    <a:stretch>
                      <a:fillRect/>
                    </a:stretch>
                  </pic:blipFill>
                  <pic:spPr>
                    <a:xfrm>
                      <a:off x="0" y="0"/>
                      <a:ext cx="6120765" cy="6697980"/>
                    </a:xfrm>
                    <a:prstGeom prst="rect">
                      <a:avLst/>
                    </a:prstGeom>
                  </pic:spPr>
                </pic:pic>
              </a:graphicData>
            </a:graphic>
          </wp:inline>
        </w:drawing>
      </w:r>
    </w:p>
    <w:p w14:paraId="35715608" w14:textId="125D6113" w:rsidR="003E219A" w:rsidRDefault="009D7749" w:rsidP="009D7749">
      <w:pPr>
        <w:pStyle w:val="CDIFigure-Table-FirstFootnote"/>
        <w:divId w:val="935526654"/>
      </w:pPr>
      <w:proofErr w:type="spellStart"/>
      <w:r w:rsidRPr="009D7749">
        <w:t>a</w:t>
      </w:r>
      <w:proofErr w:type="spellEnd"/>
      <w:r w:rsidRPr="009D7749">
        <w:tab/>
        <w:t>Sources: references 76–80.</w:t>
      </w:r>
    </w:p>
    <w:p w14:paraId="7D0F3686" w14:textId="0985B234" w:rsidR="009D7749" w:rsidRDefault="009D7749" w:rsidP="009D7749">
      <w:pPr>
        <w:pStyle w:val="Heading3"/>
        <w:divId w:val="935526654"/>
        <w:rPr>
          <w:lang w:val="en-GB"/>
        </w:rPr>
      </w:pPr>
      <w:r w:rsidRPr="009D7749">
        <w:rPr>
          <w:lang w:val="en-GB"/>
        </w:rPr>
        <w:lastRenderedPageBreak/>
        <w:t>Coverage in pregnant women</w:t>
      </w:r>
    </w:p>
    <w:p w14:paraId="7B44118E" w14:textId="77777777" w:rsidR="009D7749" w:rsidRPr="009D7749" w:rsidRDefault="009D7749" w:rsidP="009D7749">
      <w:pPr>
        <w:divId w:val="935526654"/>
        <w:rPr>
          <w:vertAlign w:val="superscript"/>
          <w:lang w:val="en-GB"/>
        </w:rPr>
      </w:pPr>
      <w:r w:rsidRPr="009D7749">
        <w:rPr>
          <w:lang w:val="en-GB"/>
        </w:rPr>
        <w:t>Owing to transplacental transfer of influenza-specific antibodies,</w:t>
      </w:r>
      <w:r w:rsidRPr="009D7749">
        <w:rPr>
          <w:vertAlign w:val="superscript"/>
          <w:lang w:val="en-GB"/>
        </w:rPr>
        <w:t>83,84</w:t>
      </w:r>
      <w:r w:rsidRPr="009D7749">
        <w:rPr>
          <w:lang w:val="en-GB"/>
        </w:rPr>
        <w:t xml:space="preserve"> vaccinating pregnant women also protects their infants (up to age 6 months) from influenza. Young infants are at high risk of influenza-associated </w:t>
      </w:r>
      <w:proofErr w:type="gramStart"/>
      <w:r w:rsidRPr="009D7749">
        <w:rPr>
          <w:lang w:val="en-GB"/>
        </w:rPr>
        <w:t>hospitalisation, but</w:t>
      </w:r>
      <w:proofErr w:type="gramEnd"/>
      <w:r w:rsidRPr="009D7749">
        <w:rPr>
          <w:lang w:val="en-GB"/>
        </w:rPr>
        <w:t xml:space="preserve"> are too young to be vaccinated themselves.</w:t>
      </w:r>
      <w:r w:rsidRPr="009D7749">
        <w:rPr>
          <w:vertAlign w:val="superscript"/>
          <w:lang w:val="en-GB"/>
        </w:rPr>
        <w:t>27,85,86</w:t>
      </w:r>
      <w:r w:rsidRPr="009D7749">
        <w:rPr>
          <w:lang w:val="en-GB"/>
        </w:rPr>
        <w:t xml:space="preserve"> A recent review of published cohort studies has shown that influenza vaccine coverage in Australian pregnant women did not reach 60% in most contexts, although it was higher (up to 75%) in Western Australia and Victoria in recent years.</w:t>
      </w:r>
      <w:r w:rsidRPr="009D7749">
        <w:rPr>
          <w:vertAlign w:val="superscript"/>
          <w:lang w:val="en-GB"/>
        </w:rPr>
        <w:t>87</w:t>
      </w:r>
    </w:p>
    <w:p w14:paraId="12C13375" w14:textId="5AD68BB2" w:rsidR="009D7749" w:rsidRDefault="009D7749" w:rsidP="009D7749">
      <w:pPr>
        <w:pStyle w:val="Heading3"/>
        <w:divId w:val="935526654"/>
        <w:rPr>
          <w:lang w:val="en-GB"/>
        </w:rPr>
      </w:pPr>
      <w:r w:rsidRPr="009D7749">
        <w:rPr>
          <w:lang w:val="en-GB"/>
        </w:rPr>
        <w:t>Coverage in people with underlying medical conditions</w:t>
      </w:r>
    </w:p>
    <w:p w14:paraId="0D1C4623" w14:textId="77777777" w:rsidR="009D7749" w:rsidRPr="009D7749" w:rsidRDefault="009D7749" w:rsidP="009D7749">
      <w:pPr>
        <w:divId w:val="935526654"/>
        <w:rPr>
          <w:lang w:val="en-GB"/>
        </w:rPr>
      </w:pPr>
      <w:r w:rsidRPr="009D7749">
        <w:rPr>
          <w:lang w:val="en-GB"/>
        </w:rPr>
        <w:t>Influenza vaccination is recommended for people with underlying medical conditions associated with an increased risk of influenza infection and related complications,</w:t>
      </w:r>
      <w:r w:rsidRPr="009D7749">
        <w:rPr>
          <w:vertAlign w:val="superscript"/>
          <w:lang w:val="en-GB"/>
        </w:rPr>
        <w:t>38</w:t>
      </w:r>
      <w:r w:rsidRPr="009D7749">
        <w:rPr>
          <w:lang w:val="en-GB"/>
        </w:rPr>
        <w:t xml:space="preserve"> and the influenza vaccine </w:t>
      </w:r>
      <w:proofErr w:type="gramStart"/>
      <w:r w:rsidRPr="009D7749">
        <w:rPr>
          <w:lang w:val="en-GB"/>
        </w:rPr>
        <w:t>is</w:t>
      </w:r>
      <w:proofErr w:type="gramEnd"/>
      <w:r w:rsidRPr="009D7749">
        <w:rPr>
          <w:lang w:val="en-GB"/>
        </w:rPr>
        <w:t xml:space="preserve"> available under the NIP for individuals with many of these conditions (Appendix A, Table A.2). In 2013, the list of underlying medical conditions for which seasonal influenza vaccination is recommended was further expanded to include trisomy 21, obesity (defined as a body mass index [BMI] ≥ 30 kg/m</w:t>
      </w:r>
      <w:r w:rsidRPr="009D7749">
        <w:rPr>
          <w:vertAlign w:val="superscript"/>
          <w:lang w:val="en-GB"/>
        </w:rPr>
        <w:t>2</w:t>
      </w:r>
      <w:r w:rsidRPr="009D7749">
        <w:rPr>
          <w:lang w:val="en-GB"/>
        </w:rPr>
        <w:t>), and alcoholism. However, these conditions are not currently eligible for NIP-funded influenza vaccines.</w:t>
      </w:r>
    </w:p>
    <w:p w14:paraId="5DCEABC1" w14:textId="0C463B6C" w:rsidR="009D7749" w:rsidRDefault="009D7749" w:rsidP="009D7749">
      <w:pPr>
        <w:rPr>
          <w:lang w:val="en-GB"/>
        </w:rPr>
      </w:pPr>
      <w:r w:rsidRPr="009D7749">
        <w:rPr>
          <w:lang w:val="en-GB"/>
        </w:rPr>
        <w:t>Influenza vaccine coverage among people with a medical comorbidity is currently quite poorly reported. However, in FluCAN sentinel hospitals during 2017–2020, influenza vaccine coverage was estimated at 45–50% among adults aged &lt; 65 years with medical comorbidities who were hospitalised during the influenza season.</w:t>
      </w:r>
      <w:r w:rsidRPr="009D7749">
        <w:rPr>
          <w:vertAlign w:val="superscript"/>
          <w:lang w:val="en-GB"/>
        </w:rPr>
        <w:t>18–20,88</w:t>
      </w:r>
      <w:r>
        <w:rPr>
          <w:lang w:val="en-GB"/>
        </w:rPr>
        <w:br w:type="page"/>
      </w:r>
    </w:p>
    <w:p w14:paraId="18D70778" w14:textId="138EDEE2" w:rsidR="009D7749" w:rsidRDefault="009D7749" w:rsidP="009D7749">
      <w:pPr>
        <w:pStyle w:val="Heading1"/>
        <w:divId w:val="935526654"/>
        <w:rPr>
          <w:lang w:val="en-GB"/>
        </w:rPr>
      </w:pPr>
      <w:r w:rsidRPr="009D7749">
        <w:rPr>
          <w:lang w:val="en-GB"/>
        </w:rPr>
        <w:lastRenderedPageBreak/>
        <w:t>Unmet needs and challenges in influenza vaccination in Australia</w:t>
      </w:r>
    </w:p>
    <w:p w14:paraId="01D3A021" w14:textId="3FEA6AA2" w:rsidR="009D7749" w:rsidRDefault="009D7749" w:rsidP="009D7749">
      <w:pPr>
        <w:pStyle w:val="Heading2"/>
        <w:divId w:val="935526654"/>
        <w:rPr>
          <w:lang w:val="en-GB"/>
        </w:rPr>
      </w:pPr>
      <w:r w:rsidRPr="009D7749">
        <w:rPr>
          <w:lang w:val="en-GB"/>
        </w:rPr>
        <w:t>Remaining challenges in influenza vaccination in Australia</w:t>
      </w:r>
    </w:p>
    <w:p w14:paraId="06ACAB01" w14:textId="52BB456C" w:rsidR="009D7749" w:rsidRDefault="009D7749" w:rsidP="009D7749">
      <w:pPr>
        <w:pStyle w:val="Heading3"/>
        <w:divId w:val="935526654"/>
        <w:rPr>
          <w:lang w:val="en-GB"/>
        </w:rPr>
      </w:pPr>
      <w:r w:rsidRPr="009D7749">
        <w:rPr>
          <w:lang w:val="en-GB"/>
        </w:rPr>
        <w:t>Coverage data</w:t>
      </w:r>
    </w:p>
    <w:p w14:paraId="36CD5D1C" w14:textId="77777777" w:rsidR="009D7749" w:rsidRPr="009D7749" w:rsidRDefault="009D7749" w:rsidP="009D7749">
      <w:pPr>
        <w:divId w:val="935526654"/>
        <w:rPr>
          <w:lang w:val="en-GB"/>
        </w:rPr>
      </w:pPr>
      <w:r w:rsidRPr="009D7749">
        <w:rPr>
          <w:lang w:val="en-GB"/>
        </w:rPr>
        <w:t>The AIR was only expanded to include adults in late 2016 and has had underreporting issues, particularly among young adults who are more likely to receive non-NIP-funded influenza vaccines in the workplace and non-GP settings.</w:t>
      </w:r>
      <w:r w:rsidRPr="009D7749">
        <w:rPr>
          <w:vertAlign w:val="superscript"/>
          <w:lang w:val="en-GB"/>
        </w:rPr>
        <w:t>89</w:t>
      </w:r>
      <w:r w:rsidRPr="009D7749">
        <w:rPr>
          <w:lang w:val="en-GB"/>
        </w:rPr>
        <w:t xml:space="preserve"> However, with the introduction of the mandatory reporting policy for influenza vaccines that commenced in 2021, and with related initiatives to improve reporting systems,</w:t>
      </w:r>
      <w:r w:rsidRPr="009D7749">
        <w:rPr>
          <w:vertAlign w:val="superscript"/>
          <w:lang w:val="en-GB"/>
        </w:rPr>
        <w:t>90</w:t>
      </w:r>
      <w:r w:rsidRPr="009D7749">
        <w:rPr>
          <w:lang w:val="en-GB"/>
        </w:rPr>
        <w:t xml:space="preserve"> it is anticipated that data completeness of the AIR should improve.</w:t>
      </w:r>
    </w:p>
    <w:p w14:paraId="7F79CE44" w14:textId="77777777" w:rsidR="009D7749" w:rsidRPr="009D7749" w:rsidRDefault="009D7749" w:rsidP="009D7749">
      <w:pPr>
        <w:divId w:val="935526654"/>
        <w:rPr>
          <w:lang w:val="en-GB"/>
        </w:rPr>
      </w:pPr>
      <w:r w:rsidRPr="009D7749">
        <w:rPr>
          <w:lang w:val="en-GB"/>
        </w:rPr>
        <w:t>Several factors could also improve the utility of the AIR. Increasing influenza immunisation coverage in populations with increased risk of influenza is a priority to optimise the implementation and maximise the benefits of the funded program. However, some of the priority populations, such as pregnant women and people with underlying medical conditions, are not currently identifiable within the AIR. To better understand coverage and impacts of vaccination programs in these at-risk populations, building capacity to link the AIR to other databases containing information on risk populations should be harnessed to generate timely and consistent coverage estimations that can inform program actions.</w:t>
      </w:r>
    </w:p>
    <w:p w14:paraId="5117A1EF" w14:textId="4F4DD2A1" w:rsidR="009D7749" w:rsidRDefault="009D7749" w:rsidP="009D7749">
      <w:pPr>
        <w:pStyle w:val="Heading3"/>
        <w:divId w:val="935526654"/>
        <w:rPr>
          <w:lang w:val="en-GB"/>
        </w:rPr>
      </w:pPr>
      <w:r w:rsidRPr="009D7749">
        <w:rPr>
          <w:lang w:val="en-GB"/>
        </w:rPr>
        <w:t>Disease burden evaluations</w:t>
      </w:r>
    </w:p>
    <w:p w14:paraId="7B2FA4F3" w14:textId="77777777" w:rsidR="00BA0B92" w:rsidRDefault="009D7749" w:rsidP="00326652">
      <w:pPr>
        <w:rPr>
          <w:lang w:val="en-GB"/>
        </w:rPr>
      </w:pPr>
      <w:r w:rsidRPr="009D7749">
        <w:rPr>
          <w:lang w:val="en-GB"/>
        </w:rPr>
        <w:t>The NNDSS routinely collects laboratory-confirmed influenza cases to guide national policy development and resource allocation, and to monitor the need and impacts of disease control programs. However, NNDSS is based on case surveillance and the absence of denominator data (i.e., the number of tests performed) limits the interpretation of epidemiologic trends. Improvements in case ascertainment over time is an additional challenge in interpreting epidemiologic trends for influenza. There has been an increase in testing frequency for influenza virus, which has likely, to an unknown extent, increased the number of lab-confirmed positive cases notified to NNDSS.</w:t>
      </w:r>
      <w:r w:rsidRPr="009D7749">
        <w:rPr>
          <w:vertAlign w:val="superscript"/>
          <w:lang w:val="en-GB"/>
        </w:rPr>
        <w:t>91–93</w:t>
      </w:r>
      <w:r w:rsidRPr="009D7749">
        <w:rPr>
          <w:lang w:val="en-GB"/>
        </w:rPr>
        <w:t xml:space="preserve"> Incorporating laboratory-negative test data in epidemiological reporting is essential for a better understanding of influenza disease burden in Australian populations.</w:t>
      </w:r>
    </w:p>
    <w:p w14:paraId="75518A33" w14:textId="660E98BF" w:rsidR="009D7749" w:rsidRDefault="009D7749" w:rsidP="009D7749">
      <w:pPr>
        <w:pStyle w:val="Heading2"/>
        <w:divId w:val="935526654"/>
        <w:rPr>
          <w:lang w:val="en-GB"/>
        </w:rPr>
      </w:pPr>
      <w:r w:rsidRPr="009D7749">
        <w:rPr>
          <w:lang w:val="en-GB"/>
        </w:rPr>
        <w:t>Vaccination coverage in special populations</w:t>
      </w:r>
    </w:p>
    <w:p w14:paraId="217ADD53" w14:textId="181E1012" w:rsidR="009D7749" w:rsidRDefault="009D7749" w:rsidP="009D7749">
      <w:pPr>
        <w:pStyle w:val="Heading3"/>
        <w:divId w:val="935526654"/>
        <w:rPr>
          <w:lang w:val="en-GB"/>
        </w:rPr>
      </w:pPr>
      <w:r w:rsidRPr="009D7749">
        <w:rPr>
          <w:lang w:val="en-GB"/>
        </w:rPr>
        <w:t xml:space="preserve">Children aged 6 months – 4 </w:t>
      </w:r>
      <w:proofErr w:type="gramStart"/>
      <w:r w:rsidRPr="009D7749">
        <w:rPr>
          <w:lang w:val="en-GB"/>
        </w:rPr>
        <w:t>years</w:t>
      </w:r>
      <w:proofErr w:type="gramEnd"/>
    </w:p>
    <w:p w14:paraId="75BE872E" w14:textId="77777777" w:rsidR="00326652" w:rsidRPr="00326652" w:rsidRDefault="00326652" w:rsidP="00326652">
      <w:pPr>
        <w:divId w:val="935526654"/>
        <w:rPr>
          <w:lang w:val="en-GB"/>
        </w:rPr>
      </w:pPr>
      <w:r w:rsidRPr="00326652">
        <w:rPr>
          <w:lang w:val="en-GB"/>
        </w:rPr>
        <w:t>In Australia, children aged &lt; 5 years have higher rates of laboratory-confirmed influenza and influenza-associated hospitalisations than older age groups.</w:t>
      </w:r>
      <w:r w:rsidRPr="00326652">
        <w:rPr>
          <w:vertAlign w:val="superscript"/>
          <w:lang w:val="en-GB"/>
        </w:rPr>
        <w:t>17</w:t>
      </w:r>
      <w:r w:rsidRPr="00326652">
        <w:rPr>
          <w:lang w:val="en-GB"/>
        </w:rPr>
        <w:t xml:space="preserve"> Owing to their key role in the transmission of influenza,</w:t>
      </w:r>
      <w:r w:rsidRPr="00326652">
        <w:rPr>
          <w:vertAlign w:val="superscript"/>
          <w:lang w:val="en-GB"/>
        </w:rPr>
        <w:t>94,95</w:t>
      </w:r>
      <w:r w:rsidRPr="00326652">
        <w:rPr>
          <w:lang w:val="en-GB"/>
        </w:rPr>
        <w:t xml:space="preserve"> vaccination in young children provides both direct protection in those vaccinated and indirect protection to other age groups. Additionally, the economic impacts of influenza in young children can be </w:t>
      </w:r>
      <w:r w:rsidRPr="00326652">
        <w:rPr>
          <w:lang w:val="en-GB"/>
        </w:rPr>
        <w:lastRenderedPageBreak/>
        <w:t>extensive, involving both direct (e.g., hospitalisation) and indirect costs (</w:t>
      </w:r>
      <w:proofErr w:type="gramStart"/>
      <w:r w:rsidRPr="00326652">
        <w:rPr>
          <w:lang w:val="en-GB"/>
        </w:rPr>
        <w:t>e.g.</w:t>
      </w:r>
      <w:proofErr w:type="gramEnd"/>
      <w:r w:rsidRPr="00326652">
        <w:rPr>
          <w:lang w:val="en-GB"/>
        </w:rPr>
        <w:t xml:space="preserve"> productivity losses for parents /communities).</w:t>
      </w:r>
      <w:r w:rsidRPr="00326652">
        <w:rPr>
          <w:vertAlign w:val="superscript"/>
          <w:lang w:val="en-GB"/>
        </w:rPr>
        <w:t>96</w:t>
      </w:r>
    </w:p>
    <w:p w14:paraId="2954D577" w14:textId="77777777" w:rsidR="00326652" w:rsidRPr="00326652" w:rsidRDefault="00326652" w:rsidP="00326652">
      <w:pPr>
        <w:divId w:val="935526654"/>
        <w:rPr>
          <w:lang w:val="en-GB"/>
        </w:rPr>
      </w:pPr>
      <w:r w:rsidRPr="00326652">
        <w:rPr>
          <w:lang w:val="en-GB"/>
        </w:rPr>
        <w:t>Nonetheless, annual coverage in children aged 6 months – 4 years has been below 45%, with a substantial decline in 2021.</w:t>
      </w:r>
      <w:r w:rsidRPr="00326652">
        <w:rPr>
          <w:vertAlign w:val="superscript"/>
          <w:lang w:val="en-GB"/>
        </w:rPr>
        <w:t>77</w:t>
      </w:r>
      <w:r w:rsidRPr="00326652">
        <w:rPr>
          <w:lang w:val="en-GB"/>
        </w:rPr>
        <w:t xml:space="preserve"> Furthermore, coverage data have shown vaccination in young children commencing and peaking several weeks later than in older adults.</w:t>
      </w:r>
      <w:r w:rsidRPr="00326652">
        <w:rPr>
          <w:vertAlign w:val="superscript"/>
          <w:lang w:val="en-GB"/>
        </w:rPr>
        <w:t>80,97</w:t>
      </w:r>
      <w:r w:rsidRPr="00326652">
        <w:rPr>
          <w:lang w:val="en-GB"/>
        </w:rPr>
        <w:t xml:space="preserve"> This potentially suggests coverage at the onset of influenza season in young children is poorer, particularly those in tropical areas where influenza season frequently occurs earlier than the delivery of the vaccine program (i.e. March/April).</w:t>
      </w:r>
    </w:p>
    <w:p w14:paraId="368E037C" w14:textId="77777777" w:rsidR="00326652" w:rsidRPr="00326652" w:rsidRDefault="00326652" w:rsidP="00326652">
      <w:pPr>
        <w:divId w:val="935526654"/>
        <w:rPr>
          <w:lang w:val="en-GB"/>
        </w:rPr>
      </w:pPr>
      <w:r w:rsidRPr="00326652">
        <w:rPr>
          <w:lang w:val="en-GB"/>
        </w:rPr>
        <w:t xml:space="preserve">A better understanding of both the coverage </w:t>
      </w:r>
      <w:proofErr w:type="gramStart"/>
      <w:r w:rsidRPr="00326652">
        <w:rPr>
          <w:lang w:val="en-GB"/>
        </w:rPr>
        <w:t>decline</w:t>
      </w:r>
      <w:proofErr w:type="gramEnd"/>
      <w:r w:rsidRPr="00326652">
        <w:rPr>
          <w:lang w:val="en-GB"/>
        </w:rPr>
        <w:t xml:space="preserve"> since 2021, and of timeliness of vaccination, is required for effective strategies to improve coverage among young children, with the aim to optimise protection in both children and other members of the community.</w:t>
      </w:r>
    </w:p>
    <w:p w14:paraId="1518549D" w14:textId="03EE56C5" w:rsidR="009D7749" w:rsidRDefault="00326652" w:rsidP="00326652">
      <w:pPr>
        <w:pStyle w:val="Heading3"/>
        <w:divId w:val="935526654"/>
        <w:rPr>
          <w:lang w:val="en-GB"/>
        </w:rPr>
      </w:pPr>
      <w:r w:rsidRPr="00326652">
        <w:rPr>
          <w:lang w:val="en-GB"/>
        </w:rPr>
        <w:t>Aboriginal and Torres Strait Islander peoples</w:t>
      </w:r>
    </w:p>
    <w:p w14:paraId="6ADC8B1D" w14:textId="77777777" w:rsidR="00326652" w:rsidRPr="00326652" w:rsidRDefault="00326652" w:rsidP="00326652">
      <w:pPr>
        <w:divId w:val="935526654"/>
        <w:rPr>
          <w:lang w:val="en-GB"/>
        </w:rPr>
      </w:pPr>
      <w:r w:rsidRPr="00326652">
        <w:rPr>
          <w:lang w:val="en-GB"/>
        </w:rPr>
        <w:t>All Aboriginal and Torres Strait Islander peoples aged over 15 years have been eligible to receive the influenza vaccine under the NIP since 2010. From 2015, NIP funding was extended to children aged 6 months – 4 years and from 2019, vaccination under the NIP became available to all Aboriginal and Torres Strait Islander peoples aged ≥ 6 months.</w:t>
      </w:r>
      <w:r w:rsidRPr="00326652">
        <w:rPr>
          <w:vertAlign w:val="superscript"/>
          <w:lang w:val="en-GB"/>
        </w:rPr>
        <w:t>98</w:t>
      </w:r>
      <w:r w:rsidRPr="00326652">
        <w:rPr>
          <w:lang w:val="en-GB"/>
        </w:rPr>
        <w:t xml:space="preserve"> Despite this, coverage in the population aged &lt; 65 years remains suboptimal.</w:t>
      </w:r>
    </w:p>
    <w:p w14:paraId="29D1B62C" w14:textId="77777777" w:rsidR="00326652" w:rsidRPr="00326652" w:rsidRDefault="00326652" w:rsidP="00326652">
      <w:pPr>
        <w:divId w:val="935526654"/>
        <w:rPr>
          <w:lang w:val="en-GB"/>
        </w:rPr>
      </w:pPr>
      <w:r w:rsidRPr="00326652">
        <w:rPr>
          <w:lang w:val="en-GB"/>
        </w:rPr>
        <w:t>Culturally appropriate communication and services to implement vaccination programs tailored for Aboriginal and Torres Strait Islander populations remain limited.</w:t>
      </w:r>
      <w:r w:rsidRPr="00326652">
        <w:rPr>
          <w:vertAlign w:val="superscript"/>
          <w:lang w:val="en-GB"/>
        </w:rPr>
        <w:t>99</w:t>
      </w:r>
      <w:r w:rsidRPr="00326652">
        <w:rPr>
          <w:lang w:val="en-GB"/>
        </w:rPr>
        <w:t xml:space="preserve"> To fill the gap during the COVID-19 pandemic, Aboriginal Community Controlled Health Organisations (ACCHOs), a primary health care service operated by local Aboriginal communities, took a leadership role in delivering evidence-based and culturally appropriate translated COVID-19 prevention messages to promote COVID-19 vaccination.</w:t>
      </w:r>
      <w:r w:rsidRPr="00326652">
        <w:rPr>
          <w:vertAlign w:val="superscript"/>
          <w:lang w:val="en-GB"/>
        </w:rPr>
        <w:t>100</w:t>
      </w:r>
      <w:r w:rsidRPr="00326652">
        <w:rPr>
          <w:lang w:val="en-GB"/>
        </w:rPr>
        <w:t xml:space="preserve"> Liaising with Aboriginal-led initiatives such as ACCHOs to build culturally appropriate information, resources, and services is essential to improve influenza vaccine uptake in Aboriginal and Torres Strait Islander peoples.</w:t>
      </w:r>
    </w:p>
    <w:p w14:paraId="4A36E8FF" w14:textId="08B1F786" w:rsidR="009D7749" w:rsidRDefault="00326652" w:rsidP="00326652">
      <w:pPr>
        <w:pStyle w:val="Heading3"/>
        <w:divId w:val="935526654"/>
        <w:rPr>
          <w:lang w:val="en-GB"/>
        </w:rPr>
      </w:pPr>
      <w:r w:rsidRPr="00326652">
        <w:rPr>
          <w:lang w:val="en-GB"/>
        </w:rPr>
        <w:t>Culturally and linguistically diverse (CALD) Australians</w:t>
      </w:r>
    </w:p>
    <w:p w14:paraId="3F68D63D" w14:textId="7B2D3D58" w:rsidR="00326652" w:rsidRPr="00326652" w:rsidRDefault="00326652" w:rsidP="00326652">
      <w:pPr>
        <w:divId w:val="935526654"/>
        <w:rPr>
          <w:lang w:val="en-GB"/>
        </w:rPr>
      </w:pPr>
      <w:r w:rsidRPr="00326652">
        <w:rPr>
          <w:lang w:val="en-GB"/>
        </w:rPr>
        <w:t>Australia is one of the most multicultural countries in the world, with approximately half of the population having one or more parents born overseas and 30% of Australians reporting a birthplace overseas.</w:t>
      </w:r>
      <w:r w:rsidRPr="00326652">
        <w:rPr>
          <w:vertAlign w:val="superscript"/>
          <w:lang w:val="en-GB"/>
        </w:rPr>
        <w:t>101</w:t>
      </w:r>
      <w:r w:rsidRPr="00326652">
        <w:rPr>
          <w:lang w:val="en-GB"/>
        </w:rPr>
        <w:t xml:space="preserve"> People living in Australia from CALD backgrounds are heterogenous; their health needs and outcomes vary considerably. In particular, those from non-English speaking backgrounds who have been settled through humanitarian programs may experience more difficulties in accessing and engaging with health services due to language barriers, cultural differences, and difficulties navigating an unfamiliar system.</w:t>
      </w:r>
      <w:r w:rsidRPr="00326652">
        <w:rPr>
          <w:vertAlign w:val="superscript"/>
          <w:lang w:val="en-GB"/>
        </w:rPr>
        <w:t>102–104</w:t>
      </w:r>
      <w:r w:rsidRPr="00326652">
        <w:rPr>
          <w:lang w:val="en-GB"/>
        </w:rPr>
        <w:t xml:space="preserve"> The effect of these barriers has been highlighted in recent years, by lower COVID-19 vaccine uptake and higher COVID-19 related-mortality in CALD communities in Australia.</w:t>
      </w:r>
      <w:r w:rsidRPr="00326652">
        <w:rPr>
          <w:vertAlign w:val="superscript"/>
          <w:lang w:val="en-GB"/>
        </w:rPr>
        <w:t>105–107</w:t>
      </w:r>
      <w:r w:rsidRPr="00326652">
        <w:rPr>
          <w:lang w:val="en-GB"/>
        </w:rPr>
        <w:t xml:space="preserve"> Though accurate vaccine coverage estimates in CALD populations are less well understood due to the absence of demographic information in the AIR,</w:t>
      </w:r>
      <w:r w:rsidRPr="00326652">
        <w:rPr>
          <w:vertAlign w:val="superscript"/>
          <w:lang w:val="en-GB"/>
        </w:rPr>
        <w:t>108</w:t>
      </w:r>
      <w:r w:rsidRPr="00326652">
        <w:t xml:space="preserve"> </w:t>
      </w:r>
      <w:r w:rsidRPr="00326652">
        <w:rPr>
          <w:lang w:val="en-GB"/>
        </w:rPr>
        <w:t>surveys report lower influenza vaccination rates in CALD Australian adults, particularly from non-English speaking backgrounds.</w:t>
      </w:r>
      <w:r w:rsidRPr="00326652">
        <w:rPr>
          <w:vertAlign w:val="superscript"/>
          <w:lang w:val="en-GB"/>
        </w:rPr>
        <w:t>109,110</w:t>
      </w:r>
    </w:p>
    <w:p w14:paraId="49EA006A" w14:textId="79BB77EA" w:rsidR="00BA0B92" w:rsidRDefault="00326652" w:rsidP="00BA0B92">
      <w:pPr>
        <w:rPr>
          <w:lang w:val="en-GB"/>
        </w:rPr>
      </w:pPr>
      <w:r w:rsidRPr="00326652">
        <w:rPr>
          <w:lang w:val="en-GB"/>
        </w:rPr>
        <w:t xml:space="preserve">During the COVID-19 pandemic, extensive strategies were implemented to support the COVID-19 vaccination rollout in CALD communities. </w:t>
      </w:r>
      <w:proofErr w:type="gramStart"/>
      <w:r w:rsidRPr="00326652">
        <w:rPr>
          <w:lang w:val="en-GB"/>
        </w:rPr>
        <w:t>These included communication</w:t>
      </w:r>
      <w:proofErr w:type="gramEnd"/>
      <w:r w:rsidRPr="00326652">
        <w:rPr>
          <w:lang w:val="en-GB"/>
        </w:rPr>
        <w:t xml:space="preserve"> tailored to the diverse </w:t>
      </w:r>
      <w:r w:rsidRPr="00326652">
        <w:rPr>
          <w:lang w:val="en-GB"/>
        </w:rPr>
        <w:lastRenderedPageBreak/>
        <w:t>characteristics of CALD communities, services in languages other than English, and CALD community engagement to identify issues and address these with culturally appropriate solutions.</w:t>
      </w:r>
      <w:r w:rsidRPr="00326652">
        <w:rPr>
          <w:vertAlign w:val="superscript"/>
          <w:lang w:val="en-GB"/>
        </w:rPr>
        <w:t>111,112</w:t>
      </w:r>
      <w:r w:rsidRPr="00326652">
        <w:rPr>
          <w:lang w:val="en-GB"/>
        </w:rPr>
        <w:t xml:space="preserve"> Similar efforts are needed to better understand and report back data for action related to influenza and other vaccine coverage in CALD Australians. This could assist to limit inequity in vaccine uptake and health impacts.</w:t>
      </w:r>
    </w:p>
    <w:p w14:paraId="4E18C523" w14:textId="7B277B83" w:rsidR="0072438C" w:rsidRDefault="00326652" w:rsidP="0072438C">
      <w:pPr>
        <w:pStyle w:val="Heading1"/>
        <w:divId w:val="935526654"/>
        <w:rPr>
          <w:lang w:val="en-GB"/>
        </w:rPr>
      </w:pPr>
      <w:r w:rsidRPr="00326652">
        <w:rPr>
          <w:lang w:val="en-GB"/>
        </w:rPr>
        <w:t xml:space="preserve">Future strategies to enhance seasonal influenza vaccination programs in </w:t>
      </w:r>
      <w:proofErr w:type="gramStart"/>
      <w:r w:rsidRPr="00326652">
        <w:rPr>
          <w:lang w:val="en-GB"/>
        </w:rPr>
        <w:t>Australia</w:t>
      </w:r>
      <w:proofErr w:type="gramEnd"/>
    </w:p>
    <w:p w14:paraId="4B9A1337" w14:textId="77777777" w:rsidR="00326652" w:rsidRPr="00326652" w:rsidRDefault="00326652" w:rsidP="00326652">
      <w:pPr>
        <w:divId w:val="935526654"/>
        <w:rPr>
          <w:lang w:val="en-GB"/>
        </w:rPr>
      </w:pPr>
      <w:r w:rsidRPr="00326652">
        <w:rPr>
          <w:lang w:val="en-GB"/>
        </w:rPr>
        <w:t>Seasonal annual influenza vaccination is recommended for all Australians aged ≥ 6 months, with NIP-funded vaccines for those who are at elevated risk of severe disease and complications. While coverage in adults aged ≥ 65 years was approximately 70% in 2022, uptake in other age groups, including in those eligible for NIP-funded influenza vaccines, remains suboptimal.</w:t>
      </w:r>
    </w:p>
    <w:p w14:paraId="70E001AA" w14:textId="77777777" w:rsidR="00326652" w:rsidRPr="00326652" w:rsidRDefault="00326652" w:rsidP="00326652">
      <w:pPr>
        <w:divId w:val="935526654"/>
        <w:rPr>
          <w:lang w:val="en-GB"/>
        </w:rPr>
      </w:pPr>
      <w:r w:rsidRPr="00326652">
        <w:rPr>
          <w:lang w:val="en-GB"/>
        </w:rPr>
        <w:t>While one approach to facilitate achieving better influenza vaccine uptake is to promote vaccination in the already NIP-eligible populations, other potential strategies include the expansion of NIP-eligibility to everyone aged ≥ 6 months, or to fund vaccine for certain sub-populations who are not currently eligible. In 2020, all jurisdictions introduced funded influenza vaccines for all Australians aged ≥ 6 months; it was estimated that influenza vaccine doses released to the market increased by approximately 30% compared to the previous year.</w:t>
      </w:r>
      <w:r w:rsidRPr="00326652">
        <w:rPr>
          <w:vertAlign w:val="superscript"/>
          <w:lang w:val="en-GB"/>
        </w:rPr>
        <w:t>75,113</w:t>
      </w:r>
      <w:r w:rsidRPr="00326652">
        <w:rPr>
          <w:lang w:val="en-GB"/>
        </w:rPr>
        <w:t xml:space="preserve"> Though several factors impacted the increase, the 2020 experience illustrated potentially greater efficiency of broad programs such as those based on age compared to those targeting individuals based on specific conditions, with less confusion about the NIP eligibility criteria. To be considered for inclusion in the NIP, however, a positive recommendation from the Pharmaceutical Benefits Advisory Committee based on clinical and cost-effectiveness assessments is required.</w:t>
      </w:r>
      <w:r w:rsidRPr="00326652">
        <w:rPr>
          <w:vertAlign w:val="superscript"/>
          <w:lang w:val="en-GB"/>
        </w:rPr>
        <w:t>114</w:t>
      </w:r>
      <w:r w:rsidRPr="00326652">
        <w:rPr>
          <w:lang w:val="en-GB"/>
        </w:rPr>
        <w:t xml:space="preserve"> Some economic evaluations on vaccination programs have demonstrated favourable results in expanding universal vaccination to specific age groups such as adults aged 50–64 years in Australia.</w:t>
      </w:r>
      <w:r w:rsidRPr="00326652">
        <w:rPr>
          <w:vertAlign w:val="superscript"/>
          <w:lang w:val="en-GB"/>
        </w:rPr>
        <w:t>115,116</w:t>
      </w:r>
      <w:r w:rsidRPr="00326652">
        <w:rPr>
          <w:lang w:val="en-GB"/>
        </w:rPr>
        <w:t xml:space="preserve"> In the UK, vaccinating school-aged children (i.e. 2–16 years old) with a live-attenuated vaccine program was identified as the most cost-effective option evaluated, and has been in place in the national influenza vaccination program since the 2013/2014 season.</w:t>
      </w:r>
      <w:r w:rsidRPr="00326652">
        <w:rPr>
          <w:vertAlign w:val="superscript"/>
          <w:lang w:val="en-GB"/>
        </w:rPr>
        <w:t>47,117</w:t>
      </w:r>
    </w:p>
    <w:p w14:paraId="5CACCB0C" w14:textId="77777777" w:rsidR="00326652" w:rsidRPr="00326652" w:rsidRDefault="00326652" w:rsidP="00326652">
      <w:pPr>
        <w:divId w:val="935526654"/>
        <w:rPr>
          <w:lang w:val="en-GB"/>
        </w:rPr>
      </w:pPr>
      <w:r w:rsidRPr="00326652">
        <w:rPr>
          <w:lang w:val="en-GB"/>
        </w:rPr>
        <w:t>Another important future strategy is to adopt the use of more effective and different types of influenza vaccines when available. This is to harness the advantage of each vaccine, particularly new vaccine technologies, in the national vaccination program. There is increasing evidence showing the significant benefits of new technologies such as high potency, and rapid and inexpensive production. Consideration of newer vaccines should include existing technologies such as for cell-based, RIV, and LAIV, and candidates at advanced stages of development, including mRNA influenza vaccines and combination vaccines for influenza and COVID-19 and/or other respiratory viruses.</w:t>
      </w:r>
      <w:r w:rsidRPr="00326652">
        <w:rPr>
          <w:vertAlign w:val="superscript"/>
          <w:lang w:val="en-GB"/>
        </w:rPr>
        <w:t>118,119</w:t>
      </w:r>
      <w:r w:rsidRPr="00326652">
        <w:rPr>
          <w:lang w:val="en-GB"/>
        </w:rPr>
        <w:t xml:space="preserve"> Increasing the availability of different vaccine platforms will provide greater versatility in vaccination strategies to improve vaccine coverage. It also enables the development of manufacturing infrastructure and supply pathways to ensure scale-up is possible in response to emergency situations, such as an influenza pandemic.</w:t>
      </w:r>
    </w:p>
    <w:p w14:paraId="36761AC4" w14:textId="6FEC15CA" w:rsidR="0072438C" w:rsidRPr="00702D05" w:rsidRDefault="0072438C" w:rsidP="0072438C">
      <w:pPr>
        <w:pStyle w:val="Heading1"/>
        <w:divId w:val="935526654"/>
        <w:rPr>
          <w:lang w:val="en-GB"/>
        </w:rPr>
      </w:pPr>
      <w:r w:rsidRPr="00702D05">
        <w:rPr>
          <w:lang w:val="en-GB"/>
        </w:rPr>
        <w:lastRenderedPageBreak/>
        <w:t>Conclusion</w:t>
      </w:r>
      <w:r w:rsidR="00326652">
        <w:rPr>
          <w:lang w:val="en-GB"/>
        </w:rPr>
        <w:t>s</w:t>
      </w:r>
    </w:p>
    <w:p w14:paraId="3D66F545" w14:textId="77777777" w:rsidR="00326652" w:rsidRPr="00326652" w:rsidRDefault="00326652" w:rsidP="00326652">
      <w:pPr>
        <w:divId w:val="935526654"/>
        <w:rPr>
          <w:lang w:val="en-GB"/>
        </w:rPr>
      </w:pPr>
      <w:r w:rsidRPr="00326652">
        <w:rPr>
          <w:lang w:val="en-GB"/>
        </w:rPr>
        <w:t>Influenza vaccination is recommended in all Australians aged ≥ 6 months and is provided free under the NIP to those who are at risk of complications. However, influenza vaccine coverage in some Australian populations, such as children aged &lt; 5 years, remains suboptimal and continues to be an ongoing challenge. This review highlighted key areas requiring improvement and potential strategies to enhance the influenza vaccination program in Australia. These include the need for improved monitoring and evaluation through utilising relevant linked datasets to better understand uptake in specific population groups, and integration of evidence-based strategies such as culturally appropriate resources to meet the characteristics of diverse Australian populations. Additionally, expansion of the NIP-eligible population, where cost-effective, and adopting the use of more effective and different types of vaccines, when available, could be potential strategies to help achieve higher vaccine coverage in Australia.</w:t>
      </w:r>
    </w:p>
    <w:p w14:paraId="1848F0DA" w14:textId="77777777" w:rsidR="0072438C" w:rsidRPr="00702D05" w:rsidRDefault="0072438C" w:rsidP="0072438C">
      <w:pPr>
        <w:pStyle w:val="Heading1"/>
        <w:divId w:val="935526654"/>
        <w:rPr>
          <w:lang w:val="en-GB"/>
        </w:rPr>
      </w:pPr>
      <w:r>
        <w:rPr>
          <w:lang w:val="en-GB"/>
        </w:rPr>
        <w:t>Acknowledgments</w:t>
      </w:r>
    </w:p>
    <w:p w14:paraId="7CD6E5E6" w14:textId="77777777" w:rsidR="00BA0B92" w:rsidRDefault="00326652" w:rsidP="00BA0B92">
      <w:pPr>
        <w:rPr>
          <w:lang w:val="en-GB"/>
        </w:rPr>
      </w:pPr>
      <w:r w:rsidRPr="00326652">
        <w:rPr>
          <w:lang w:val="en-GB"/>
        </w:rPr>
        <w:t>The authors wish to thank the ATAGI secretariat of the Department of Health and Aged Care for their assistance in the development of this manuscript and for coordinating the approvals required for this review’s publication.</w:t>
      </w:r>
    </w:p>
    <w:p w14:paraId="31F023D0" w14:textId="77777777" w:rsidR="0072438C" w:rsidRDefault="0072438C" w:rsidP="0072438C">
      <w:pPr>
        <w:pStyle w:val="Heading1"/>
        <w:divId w:val="935526654"/>
      </w:pPr>
      <w:r>
        <w:t>Author details</w:t>
      </w:r>
    </w:p>
    <w:p w14:paraId="5D896D79" w14:textId="77777777" w:rsidR="00326652" w:rsidRPr="00326652" w:rsidRDefault="00326652" w:rsidP="00326652">
      <w:pPr>
        <w:divId w:val="935526654"/>
      </w:pPr>
      <w:proofErr w:type="spellStart"/>
      <w:r w:rsidRPr="00326652">
        <w:t>Chisato</w:t>
      </w:r>
      <w:proofErr w:type="spellEnd"/>
      <w:r w:rsidRPr="00326652">
        <w:t xml:space="preserve"> Imai,</w:t>
      </w:r>
      <w:r w:rsidRPr="00326652">
        <w:rPr>
          <w:vertAlign w:val="superscript"/>
        </w:rPr>
        <w:t>1</w:t>
      </w:r>
    </w:p>
    <w:p w14:paraId="7C39A7F9" w14:textId="77777777" w:rsidR="00326652" w:rsidRPr="00326652" w:rsidRDefault="00326652" w:rsidP="00326652">
      <w:pPr>
        <w:pStyle w:val="Normal-lessspace"/>
        <w:divId w:val="935526654"/>
      </w:pPr>
      <w:r w:rsidRPr="00326652">
        <w:t>Sanjay Jayasinghe,</w:t>
      </w:r>
      <w:r w:rsidRPr="00326652">
        <w:rPr>
          <w:vertAlign w:val="superscript"/>
        </w:rPr>
        <w:t>1,2</w:t>
      </w:r>
    </w:p>
    <w:p w14:paraId="4AEE06AC" w14:textId="77777777" w:rsidR="00326652" w:rsidRPr="00326652" w:rsidRDefault="00326652" w:rsidP="00326652">
      <w:pPr>
        <w:pStyle w:val="Normal-lessspace"/>
        <w:divId w:val="935526654"/>
      </w:pPr>
      <w:proofErr w:type="spellStart"/>
      <w:r w:rsidRPr="00326652">
        <w:t>Jocelynne</w:t>
      </w:r>
      <w:proofErr w:type="spellEnd"/>
      <w:r w:rsidRPr="00326652">
        <w:t xml:space="preserve"> McRae,</w:t>
      </w:r>
      <w:r w:rsidRPr="00326652">
        <w:rPr>
          <w:vertAlign w:val="superscript"/>
        </w:rPr>
        <w:t>1</w:t>
      </w:r>
    </w:p>
    <w:p w14:paraId="2882E135" w14:textId="77777777" w:rsidR="00326652" w:rsidRPr="00326652" w:rsidRDefault="00326652" w:rsidP="00326652">
      <w:pPr>
        <w:pStyle w:val="Normal-lessspace"/>
        <w:divId w:val="935526654"/>
      </w:pPr>
      <w:r w:rsidRPr="00326652">
        <w:t>Jean Li-Kim-Moy,</w:t>
      </w:r>
      <w:r w:rsidRPr="00326652">
        <w:rPr>
          <w:vertAlign w:val="superscript"/>
        </w:rPr>
        <w:t>1,2</w:t>
      </w:r>
    </w:p>
    <w:p w14:paraId="4006773C" w14:textId="65E10946" w:rsidR="00326652" w:rsidRPr="00326652" w:rsidRDefault="00326652" w:rsidP="00326652">
      <w:pPr>
        <w:pStyle w:val="Normal-lessspace"/>
        <w:divId w:val="935526654"/>
      </w:pPr>
      <w:r w:rsidRPr="00326652">
        <w:t>Clayton Chiu</w:t>
      </w:r>
      <w:r>
        <w:t>,</w:t>
      </w:r>
      <w:r w:rsidRPr="00326652">
        <w:rPr>
          <w:vertAlign w:val="superscript"/>
        </w:rPr>
        <w:t>1,2</w:t>
      </w:r>
    </w:p>
    <w:p w14:paraId="53190F7D" w14:textId="7F6F24BB" w:rsidR="00326652" w:rsidRPr="00326652" w:rsidRDefault="00326652" w:rsidP="00326652">
      <w:pPr>
        <w:pStyle w:val="Normal-lessspace"/>
        <w:divId w:val="935526654"/>
      </w:pPr>
      <w:r w:rsidRPr="00326652">
        <w:t>Kristine Macartney</w:t>
      </w:r>
      <w:r>
        <w:t>,</w:t>
      </w:r>
      <w:r w:rsidRPr="00326652">
        <w:rPr>
          <w:vertAlign w:val="superscript"/>
        </w:rPr>
        <w:t>1,2,3</w:t>
      </w:r>
    </w:p>
    <w:p w14:paraId="03740E53" w14:textId="77777777" w:rsidR="00326652" w:rsidRPr="00326652" w:rsidRDefault="00326652" w:rsidP="00326652">
      <w:pPr>
        <w:pStyle w:val="Normal-lessspace"/>
        <w:divId w:val="935526654"/>
      </w:pPr>
      <w:r w:rsidRPr="00326652">
        <w:t>Penelope Burns,</w:t>
      </w:r>
      <w:r w:rsidRPr="00326652">
        <w:rPr>
          <w:vertAlign w:val="superscript"/>
        </w:rPr>
        <w:t>3,4,5</w:t>
      </w:r>
    </w:p>
    <w:p w14:paraId="16562673" w14:textId="77777777" w:rsidR="00326652" w:rsidRPr="00326652" w:rsidRDefault="00326652" w:rsidP="00326652">
      <w:pPr>
        <w:pStyle w:val="Normal-lessspace"/>
        <w:divId w:val="935526654"/>
      </w:pPr>
      <w:r w:rsidRPr="00326652">
        <w:t>Kristy Cooper,</w:t>
      </w:r>
      <w:r w:rsidRPr="00326652">
        <w:rPr>
          <w:vertAlign w:val="superscript"/>
        </w:rPr>
        <w:t>3</w:t>
      </w:r>
    </w:p>
    <w:p w14:paraId="020DC846" w14:textId="77777777" w:rsidR="00326652" w:rsidRPr="00326652" w:rsidRDefault="00326652" w:rsidP="00326652">
      <w:pPr>
        <w:pStyle w:val="Normal-lessspace"/>
        <w:divId w:val="935526654"/>
      </w:pPr>
      <w:r w:rsidRPr="00326652">
        <w:t>Allen C Cheng,</w:t>
      </w:r>
      <w:r w:rsidRPr="00326652">
        <w:rPr>
          <w:vertAlign w:val="superscript"/>
        </w:rPr>
        <w:t>3,6</w:t>
      </w:r>
    </w:p>
    <w:p w14:paraId="65C8C546" w14:textId="77777777" w:rsidR="00326652" w:rsidRPr="00326652" w:rsidRDefault="00326652" w:rsidP="00326652">
      <w:pPr>
        <w:pStyle w:val="Normal-lessspace"/>
        <w:divId w:val="935526654"/>
      </w:pPr>
      <w:r w:rsidRPr="00326652">
        <w:t>Katherine Gibney,</w:t>
      </w:r>
      <w:r w:rsidRPr="00326652">
        <w:rPr>
          <w:vertAlign w:val="superscript"/>
        </w:rPr>
        <w:t>3,7,8</w:t>
      </w:r>
    </w:p>
    <w:p w14:paraId="6244EFD6" w14:textId="77777777" w:rsidR="00326652" w:rsidRPr="00326652" w:rsidRDefault="00326652" w:rsidP="00326652">
      <w:pPr>
        <w:pStyle w:val="Normal-lessspace"/>
        <w:divId w:val="935526654"/>
      </w:pPr>
      <w:r w:rsidRPr="00326652">
        <w:t>Michelle Giles,</w:t>
      </w:r>
      <w:r w:rsidRPr="00326652">
        <w:rPr>
          <w:vertAlign w:val="superscript"/>
        </w:rPr>
        <w:t>3,9,10</w:t>
      </w:r>
    </w:p>
    <w:p w14:paraId="09B1DAAF" w14:textId="77777777" w:rsidR="00326652" w:rsidRPr="00326652" w:rsidRDefault="00326652" w:rsidP="00326652">
      <w:pPr>
        <w:pStyle w:val="Normal-lessspace"/>
        <w:divId w:val="935526654"/>
      </w:pPr>
      <w:r w:rsidRPr="00326652">
        <w:t>Cheryl Jones,</w:t>
      </w:r>
      <w:r w:rsidRPr="00326652">
        <w:rPr>
          <w:vertAlign w:val="superscript"/>
        </w:rPr>
        <w:t>3,11,12</w:t>
      </w:r>
    </w:p>
    <w:p w14:paraId="071F1B4F" w14:textId="77777777" w:rsidR="00326652" w:rsidRPr="00326652" w:rsidRDefault="00326652" w:rsidP="00326652">
      <w:pPr>
        <w:pStyle w:val="Normal-lessspace"/>
        <w:divId w:val="935526654"/>
      </w:pPr>
      <w:r w:rsidRPr="00326652">
        <w:t>Tony Korman,</w:t>
      </w:r>
      <w:r w:rsidRPr="00326652">
        <w:rPr>
          <w:vertAlign w:val="superscript"/>
        </w:rPr>
        <w:t>3,13</w:t>
      </w:r>
    </w:p>
    <w:p w14:paraId="4F674DDC" w14:textId="77777777" w:rsidR="00326652" w:rsidRPr="00326652" w:rsidRDefault="00326652" w:rsidP="00326652">
      <w:pPr>
        <w:pStyle w:val="Normal-lessspace"/>
        <w:divId w:val="935526654"/>
      </w:pPr>
      <w:r w:rsidRPr="00326652">
        <w:t>Bette Liu,</w:t>
      </w:r>
      <w:r w:rsidRPr="00326652">
        <w:rPr>
          <w:vertAlign w:val="superscript"/>
        </w:rPr>
        <w:t>1,3,14</w:t>
      </w:r>
    </w:p>
    <w:p w14:paraId="4922D88C" w14:textId="77777777" w:rsidR="00326652" w:rsidRPr="00326652" w:rsidRDefault="00326652" w:rsidP="00326652">
      <w:pPr>
        <w:pStyle w:val="Normal-lessspace"/>
        <w:divId w:val="935526654"/>
      </w:pPr>
      <w:r w:rsidRPr="00326652">
        <w:t>Nigel W Crawford</w:t>
      </w:r>
      <w:r w:rsidRPr="00326652">
        <w:rPr>
          <w:vertAlign w:val="superscript"/>
        </w:rPr>
        <w:t>3,15,16</w:t>
      </w:r>
    </w:p>
    <w:p w14:paraId="58DA54B7" w14:textId="77777777" w:rsidR="00326652" w:rsidRPr="00326652" w:rsidRDefault="00326652" w:rsidP="00BA0B92">
      <w:pPr>
        <w:pStyle w:val="CDINumberedList1L1"/>
        <w:divId w:val="935526654"/>
      </w:pPr>
      <w:r w:rsidRPr="00326652">
        <w:lastRenderedPageBreak/>
        <w:t xml:space="preserve">National Centre for Immunisation Research and Surveillance, Children’s Hospital at </w:t>
      </w:r>
      <w:proofErr w:type="spellStart"/>
      <w:r w:rsidRPr="00326652">
        <w:t>Westmead</w:t>
      </w:r>
      <w:proofErr w:type="spellEnd"/>
      <w:r w:rsidRPr="00326652">
        <w:t>, Sydney, New South Wales, Australia</w:t>
      </w:r>
    </w:p>
    <w:p w14:paraId="4AF0D2DC" w14:textId="77777777" w:rsidR="00326652" w:rsidRPr="00326652" w:rsidRDefault="00326652" w:rsidP="00BA0B92">
      <w:pPr>
        <w:pStyle w:val="CDINumberedList1L1"/>
        <w:divId w:val="935526654"/>
      </w:pPr>
      <w:r w:rsidRPr="00326652">
        <w:t>Faculty of Medicine and Health, University of Sydney, Sydney, New South Wales, Australia</w:t>
      </w:r>
    </w:p>
    <w:p w14:paraId="13D62EB9" w14:textId="77777777" w:rsidR="00326652" w:rsidRPr="00326652" w:rsidRDefault="00326652" w:rsidP="00BA0B92">
      <w:pPr>
        <w:pStyle w:val="CDINumberedList1L1"/>
        <w:divId w:val="935526654"/>
      </w:pPr>
      <w:r w:rsidRPr="00326652">
        <w:t>Australian Technical Advisory Group on Immunisation, Department of Health and Aged Care, Australian Government, Canberra, Australian Capital Territory, Australia</w:t>
      </w:r>
    </w:p>
    <w:p w14:paraId="1ACB18CB" w14:textId="77777777" w:rsidR="00326652" w:rsidRPr="00326652" w:rsidRDefault="00326652" w:rsidP="00BA0B92">
      <w:pPr>
        <w:pStyle w:val="CDINumberedList1L1"/>
        <w:divId w:val="935526654"/>
      </w:pPr>
      <w:r w:rsidRPr="00326652">
        <w:t>Academic Unit of General Practice, College of Health and Medicine, Australian National University, Canberra, Australian Capital Territory, Australia</w:t>
      </w:r>
    </w:p>
    <w:p w14:paraId="7C82F650" w14:textId="77777777" w:rsidR="00326652" w:rsidRPr="00326652" w:rsidRDefault="00326652" w:rsidP="00BA0B92">
      <w:pPr>
        <w:pStyle w:val="CDINumberedList1L1"/>
        <w:divId w:val="935526654"/>
      </w:pPr>
      <w:r w:rsidRPr="00326652">
        <w:t>Department of General Practice, School of Medicine, Western Sydney University, Sydney, Australia</w:t>
      </w:r>
    </w:p>
    <w:p w14:paraId="473061B5" w14:textId="77777777" w:rsidR="00326652" w:rsidRPr="00326652" w:rsidRDefault="00326652" w:rsidP="00BA0B92">
      <w:pPr>
        <w:pStyle w:val="CDINumberedList1L1"/>
        <w:divId w:val="935526654"/>
      </w:pPr>
      <w:r w:rsidRPr="00326652">
        <w:t>Monash Infectious Diseases, Monash Health; School of Clinical Sciences, Monash University, Melbourne, Victoria, Australia</w:t>
      </w:r>
    </w:p>
    <w:p w14:paraId="26214654" w14:textId="77777777" w:rsidR="00326652" w:rsidRPr="00326652" w:rsidRDefault="00326652" w:rsidP="00BA0B92">
      <w:pPr>
        <w:pStyle w:val="CDINumberedList1L1"/>
        <w:divId w:val="935526654"/>
      </w:pPr>
      <w:r w:rsidRPr="00326652">
        <w:t>Victorian Infectious Diseases Service, The Royal Melbourne Hospital at the Peter Doherty Institute for Infection and Immunity, Melbourne, Victoria, Australia</w:t>
      </w:r>
    </w:p>
    <w:p w14:paraId="6593DBBB" w14:textId="77777777" w:rsidR="00326652" w:rsidRPr="00326652" w:rsidRDefault="00326652" w:rsidP="00BA0B92">
      <w:pPr>
        <w:pStyle w:val="CDINumberedList1L1"/>
        <w:divId w:val="935526654"/>
      </w:pPr>
      <w:r w:rsidRPr="00326652">
        <w:t>Department of Infectious Diseases, University of Melbourne at the Peter Doherty Institute for Infection and Immunity, Melbourne, Australia</w:t>
      </w:r>
    </w:p>
    <w:p w14:paraId="74617F41" w14:textId="77777777" w:rsidR="00326652" w:rsidRPr="00326652" w:rsidRDefault="00326652" w:rsidP="00BA0B92">
      <w:pPr>
        <w:pStyle w:val="CDINumberedList1L1"/>
        <w:divId w:val="935526654"/>
      </w:pPr>
      <w:r w:rsidRPr="00326652">
        <w:t>Department of Obstetrics and Gynaecology, Monash University, Melbourne, Victoria, Australia</w:t>
      </w:r>
    </w:p>
    <w:p w14:paraId="5B5BD726" w14:textId="77777777" w:rsidR="00326652" w:rsidRPr="00326652" w:rsidRDefault="00326652" w:rsidP="00BA0B92">
      <w:pPr>
        <w:pStyle w:val="CDINumberedList1L1"/>
        <w:divId w:val="935526654"/>
      </w:pPr>
      <w:r w:rsidRPr="00326652">
        <w:t>Department of Infectious Diseases, University of Melbourne, Melbourne, Victoria, Australia</w:t>
      </w:r>
    </w:p>
    <w:p w14:paraId="6D59B46E" w14:textId="77777777" w:rsidR="00326652" w:rsidRPr="00326652" w:rsidRDefault="00326652" w:rsidP="00BA0B92">
      <w:pPr>
        <w:pStyle w:val="CDINumberedList1L1"/>
        <w:divId w:val="935526654"/>
      </w:pPr>
      <w:r w:rsidRPr="00326652">
        <w:t>Sydney Medical School Faculty of Medicine and Health, University of Sydney, Sydney, New South Wales, Australia</w:t>
      </w:r>
    </w:p>
    <w:p w14:paraId="256BC1D2" w14:textId="77777777" w:rsidR="00326652" w:rsidRPr="00326652" w:rsidRDefault="00326652" w:rsidP="00BA0B92">
      <w:pPr>
        <w:pStyle w:val="CDINumberedList1L1"/>
        <w:divId w:val="935526654"/>
      </w:pPr>
      <w:r w:rsidRPr="00326652">
        <w:t xml:space="preserve">Paediatric Infectious Diseases, Sydney Children’s Hospital Network at </w:t>
      </w:r>
      <w:proofErr w:type="spellStart"/>
      <w:r w:rsidRPr="00326652">
        <w:t>Westmead</w:t>
      </w:r>
      <w:proofErr w:type="spellEnd"/>
      <w:r w:rsidRPr="00326652">
        <w:t>, Sydney, New South Wales, Australia</w:t>
      </w:r>
    </w:p>
    <w:p w14:paraId="31F75175" w14:textId="77777777" w:rsidR="00326652" w:rsidRPr="00326652" w:rsidRDefault="00326652" w:rsidP="00BA0B92">
      <w:pPr>
        <w:pStyle w:val="CDINumberedList1L1"/>
        <w:divId w:val="935526654"/>
      </w:pPr>
      <w:r w:rsidRPr="00326652">
        <w:t>Monash Infectious Diseases, Monash Health, Melbourne, Victoria, Australia</w:t>
      </w:r>
    </w:p>
    <w:p w14:paraId="77FCC9DF" w14:textId="77777777" w:rsidR="00326652" w:rsidRPr="00326652" w:rsidRDefault="00326652" w:rsidP="00BA0B92">
      <w:pPr>
        <w:pStyle w:val="CDINumberedList1L1"/>
        <w:divId w:val="935526654"/>
      </w:pPr>
      <w:r w:rsidRPr="00326652">
        <w:t>School of Population Health, University of New South Wales, Sydney, New South Wales, Australia</w:t>
      </w:r>
    </w:p>
    <w:p w14:paraId="37D95E15" w14:textId="77777777" w:rsidR="00326652" w:rsidRPr="00326652" w:rsidRDefault="00326652" w:rsidP="00BA0B92">
      <w:pPr>
        <w:pStyle w:val="CDINumberedList1L1"/>
        <w:divId w:val="935526654"/>
      </w:pPr>
      <w:r w:rsidRPr="00326652">
        <w:t>Immunisation Services, Royal Children’s Hospital, Melbourne, Victoria, Australia</w:t>
      </w:r>
    </w:p>
    <w:p w14:paraId="28FB1F07" w14:textId="77777777" w:rsidR="00326652" w:rsidRPr="00326652" w:rsidRDefault="00326652" w:rsidP="00BA0B92">
      <w:pPr>
        <w:pStyle w:val="CDINumberedList1L1"/>
        <w:divId w:val="935526654"/>
      </w:pPr>
      <w:r w:rsidRPr="00326652">
        <w:t>Infection and Immunity, Murdoch Children’s Research Institute and Department of Paediatrics, University of Melbourne, Victoria, Australia</w:t>
      </w:r>
    </w:p>
    <w:p w14:paraId="44E20963" w14:textId="77777777" w:rsidR="00326652" w:rsidRPr="00BA0B92" w:rsidRDefault="00326652" w:rsidP="00326652">
      <w:pPr>
        <w:divId w:val="935526654"/>
        <w:rPr>
          <w:rStyle w:val="Bold"/>
          <w:lang w:val="en-GB"/>
        </w:rPr>
      </w:pPr>
      <w:r w:rsidRPr="00BA0B92">
        <w:rPr>
          <w:rStyle w:val="Bold"/>
          <w:lang w:val="en-GB"/>
        </w:rPr>
        <w:t xml:space="preserve">Corresponding author </w:t>
      </w:r>
    </w:p>
    <w:p w14:paraId="2E8EFD7F" w14:textId="77777777" w:rsidR="00326652" w:rsidRPr="00326652" w:rsidRDefault="00326652" w:rsidP="00326652">
      <w:pPr>
        <w:divId w:val="935526654"/>
        <w:rPr>
          <w:lang w:val="en-GB"/>
        </w:rPr>
      </w:pPr>
      <w:proofErr w:type="spellStart"/>
      <w:r w:rsidRPr="00326652">
        <w:rPr>
          <w:lang w:val="en-GB"/>
        </w:rPr>
        <w:t>Chisato</w:t>
      </w:r>
      <w:proofErr w:type="spellEnd"/>
      <w:r w:rsidRPr="00326652">
        <w:rPr>
          <w:lang w:val="en-GB"/>
        </w:rPr>
        <w:t xml:space="preserve"> Imai</w:t>
      </w:r>
    </w:p>
    <w:p w14:paraId="3E9FC582" w14:textId="77777777" w:rsidR="00326652" w:rsidRPr="00326652" w:rsidRDefault="00326652" w:rsidP="00BA0B92">
      <w:pPr>
        <w:pStyle w:val="Normal-lessspace"/>
        <w:divId w:val="935526654"/>
      </w:pPr>
      <w:r w:rsidRPr="00326652">
        <w:t xml:space="preserve">National Centre for Immunisation Research and Surveillance, Children’s Hospital at </w:t>
      </w:r>
      <w:proofErr w:type="spellStart"/>
      <w:r w:rsidRPr="00326652">
        <w:t>Westmead</w:t>
      </w:r>
      <w:proofErr w:type="spellEnd"/>
      <w:r w:rsidRPr="00326652">
        <w:t>, Sydney, New South Wales, Australia</w:t>
      </w:r>
    </w:p>
    <w:p w14:paraId="1268D3F0" w14:textId="77777777" w:rsidR="00326652" w:rsidRPr="00326652" w:rsidRDefault="00326652" w:rsidP="00BA0B92">
      <w:pPr>
        <w:pStyle w:val="Normal-lessspace"/>
        <w:divId w:val="935526654"/>
      </w:pPr>
      <w:r w:rsidRPr="00326652">
        <w:t>Email: Chisato.Imai@health.nsw.gov.au</w:t>
      </w:r>
    </w:p>
    <w:p w14:paraId="2467FB5A" w14:textId="31C74AC0" w:rsidR="00912A31" w:rsidRDefault="00326652" w:rsidP="00BA0B92">
      <w:pPr>
        <w:pStyle w:val="Normal-lessspace"/>
      </w:pPr>
      <w:r w:rsidRPr="00326652">
        <w:t>Telephone: +61 2 9845 1433</w:t>
      </w:r>
      <w:r w:rsidR="00912A31">
        <w:br w:type="page"/>
      </w:r>
    </w:p>
    <w:p w14:paraId="71ADD2B6" w14:textId="77777777" w:rsidR="0072438C" w:rsidRDefault="0072438C" w:rsidP="0072438C">
      <w:pPr>
        <w:pStyle w:val="Heading1"/>
        <w:divId w:val="935526654"/>
      </w:pPr>
      <w:r>
        <w:lastRenderedPageBreak/>
        <w:t>References</w:t>
      </w:r>
    </w:p>
    <w:p w14:paraId="56983ADA" w14:textId="77777777" w:rsidR="00BA0B92" w:rsidRPr="00BA0B92" w:rsidRDefault="00BA0B92" w:rsidP="00FF61FA">
      <w:pPr>
        <w:pStyle w:val="CDINumberedList1L1"/>
        <w:numPr>
          <w:ilvl w:val="0"/>
          <w:numId w:val="33"/>
        </w:numPr>
        <w:divId w:val="935526654"/>
      </w:pPr>
      <w:proofErr w:type="spellStart"/>
      <w:r w:rsidRPr="00BA0B92">
        <w:t>Uyeki</w:t>
      </w:r>
      <w:proofErr w:type="spellEnd"/>
      <w:r w:rsidRPr="00BA0B92">
        <w:t xml:space="preserve"> TM, Hui DS, </w:t>
      </w:r>
      <w:proofErr w:type="spellStart"/>
      <w:r w:rsidRPr="00BA0B92">
        <w:t>Zambon</w:t>
      </w:r>
      <w:proofErr w:type="spellEnd"/>
      <w:r w:rsidRPr="00BA0B92">
        <w:t xml:space="preserve"> M, Wentworth DE, Monto AS. Influenza. </w:t>
      </w:r>
      <w:r w:rsidRPr="00FF61FA">
        <w:rPr>
          <w:i/>
          <w:iCs/>
        </w:rPr>
        <w:t>Lancet</w:t>
      </w:r>
      <w:r w:rsidRPr="00BA0B92">
        <w:t>. 2022;400(10353):693–706. doi: https://doi.org/10.1016/S0140-6736(22)00982-5.</w:t>
      </w:r>
    </w:p>
    <w:p w14:paraId="2916A2E0" w14:textId="77777777" w:rsidR="00BA0B92" w:rsidRPr="00BA0B92" w:rsidRDefault="00BA0B92" w:rsidP="00BA0B92">
      <w:pPr>
        <w:pStyle w:val="CDINumberedList1L1"/>
        <w:divId w:val="935526654"/>
      </w:pPr>
      <w:r w:rsidRPr="00BA0B92">
        <w:t>Australian Government Department of Health and Aged Care. Australian Immunisation Handbook: Influenza (flu). [Webpage.] Canberra: Australian Government Department of Health and Aged Care; 2022. Available from: https://immunisationhandbook.health.gov.au/contents/vaccine-preventable-diseases/influenza-flu.</w:t>
      </w:r>
    </w:p>
    <w:p w14:paraId="64733182" w14:textId="4A653C55" w:rsidR="00BA0B92" w:rsidRPr="00BA0B92" w:rsidRDefault="00BA0B92" w:rsidP="00BA0B92">
      <w:pPr>
        <w:pStyle w:val="CDINumberedList1L1"/>
        <w:divId w:val="935526654"/>
      </w:pPr>
      <w:r w:rsidRPr="00BA0B92">
        <w:t xml:space="preserve">Sullivan SG, Carlson S, Cheng AC, Chilver MBN, Dwyer DE, Irwin M et al. Where has all the influenza gone? The impact of COVID-19 on the circulation of influenza and other respiratory viruses, Australia, March to September 2020. </w:t>
      </w:r>
      <w:r w:rsidRPr="00BA0B92">
        <w:rPr>
          <w:i/>
          <w:iCs/>
        </w:rPr>
        <w:t xml:space="preserve">Euro </w:t>
      </w:r>
      <w:proofErr w:type="spellStart"/>
      <w:r w:rsidRPr="00BA0B92">
        <w:rPr>
          <w:i/>
          <w:iCs/>
        </w:rPr>
        <w:t>Surveill</w:t>
      </w:r>
      <w:proofErr w:type="spellEnd"/>
      <w:r w:rsidRPr="00BA0B92">
        <w:t xml:space="preserve">. 2020;25(47):2001847. </w:t>
      </w:r>
      <w:r w:rsidR="00FF61FA">
        <w:br/>
      </w:r>
      <w:r w:rsidRPr="00BA0B92">
        <w:t>doi: https://doi.org/10.2807/1560-7917.ES.2020.25.47.2001847.</w:t>
      </w:r>
    </w:p>
    <w:p w14:paraId="323F22AB"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AISR – 2021 national influenza season summary</w:t>
      </w:r>
      <w:r w:rsidRPr="00BA0B92">
        <w:t>. [Webpage.] Canberra: Australian Government Department of Health and Aged Care; 8 August 2022. Available from: https://www.health.gov.au/resources/publications/aisr-2021-national-influenza-season-summary.</w:t>
      </w:r>
    </w:p>
    <w:p w14:paraId="3B21B6D0"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AISR – 2020 national influenza season summary</w:t>
      </w:r>
      <w:r w:rsidRPr="00BA0B92">
        <w:t>. [Webpage.] Canberra: Australian Government Department of Health and Aged Care; 10 October 2022. Available from: https://www.health.gov.au/resources/publications/aisr-2020-national-influenza-season-summary.</w:t>
      </w:r>
    </w:p>
    <w:p w14:paraId="176F2859" w14:textId="77777777" w:rsidR="00BA0B92" w:rsidRPr="00BA0B92" w:rsidRDefault="00BA0B92" w:rsidP="00BA0B92">
      <w:pPr>
        <w:pStyle w:val="CDINumberedList1L1"/>
        <w:divId w:val="935526654"/>
      </w:pPr>
      <w:r w:rsidRPr="00BA0B92">
        <w:t xml:space="preserve">Trent MJ, Moa A, </w:t>
      </w:r>
      <w:proofErr w:type="spellStart"/>
      <w:r w:rsidRPr="00BA0B92">
        <w:t>MacIntyre</w:t>
      </w:r>
      <w:proofErr w:type="spellEnd"/>
      <w:r w:rsidRPr="00BA0B92">
        <w:t xml:space="preserve"> CR. “I’ll be back”: Australia’s experience of flu in 2022. </w:t>
      </w:r>
      <w:r w:rsidRPr="00BA0B92">
        <w:rPr>
          <w:i/>
          <w:iCs/>
        </w:rPr>
        <w:t>BMJ</w:t>
      </w:r>
      <w:r w:rsidRPr="00BA0B92">
        <w:t>. 2022;</w:t>
      </w:r>
      <w:proofErr w:type="gramStart"/>
      <w:r w:rsidRPr="00BA0B92">
        <w:t>379:o</w:t>
      </w:r>
      <w:proofErr w:type="gramEnd"/>
      <w:r w:rsidRPr="00BA0B92">
        <w:t>2998. doi: https://doi.org/10.1136/bmj.o2998.</w:t>
      </w:r>
    </w:p>
    <w:p w14:paraId="1E6BAF8F" w14:textId="2D5A1DAB" w:rsidR="00BA0B92" w:rsidRPr="00BA0B92" w:rsidRDefault="00BA0B92" w:rsidP="00BA0B92">
      <w:pPr>
        <w:pStyle w:val="CDINumberedList1L1"/>
        <w:divId w:val="935526654"/>
      </w:pPr>
      <w:r w:rsidRPr="00BA0B92">
        <w:t xml:space="preserve">Paules C, Subbarao K. Influenza. </w:t>
      </w:r>
      <w:r w:rsidRPr="00BA0B92">
        <w:rPr>
          <w:i/>
          <w:iCs/>
        </w:rPr>
        <w:t>Lancet</w:t>
      </w:r>
      <w:r w:rsidRPr="00BA0B92">
        <w:t>. 2017;390(10095):697–708. doi:</w:t>
      </w:r>
      <w:r w:rsidR="00FF61FA">
        <w:t> </w:t>
      </w:r>
      <w:r w:rsidRPr="00BA0B92">
        <w:t>https://doi.org/10.1016/S0140-6736(17)30129-0.</w:t>
      </w:r>
    </w:p>
    <w:p w14:paraId="243AB088" w14:textId="77777777" w:rsidR="00BA0B92" w:rsidRPr="00BA0B92" w:rsidRDefault="00BA0B92" w:rsidP="00BA0B92">
      <w:pPr>
        <w:pStyle w:val="CDINumberedList1L1"/>
        <w:divId w:val="935526654"/>
      </w:pPr>
      <w:r w:rsidRPr="00BA0B92">
        <w:t xml:space="preserve">Cheng AC, Subbarao K. Epidemiological data on the effectiveness of influenza vaccine—another piece of the puzzle. </w:t>
      </w:r>
      <w:r w:rsidRPr="00BA0B92">
        <w:rPr>
          <w:i/>
          <w:iCs/>
        </w:rPr>
        <w:t>J Infect Dis</w:t>
      </w:r>
      <w:r w:rsidRPr="00BA0B92">
        <w:t>. 2018;218(2):176–8. doi: https://doi.org/10.1093/infdis/jix635.</w:t>
      </w:r>
    </w:p>
    <w:p w14:paraId="7A9311FE" w14:textId="72967CB2" w:rsidR="00BA0B92" w:rsidRPr="00BA0B92" w:rsidRDefault="00BA0B92" w:rsidP="00BA0B92">
      <w:pPr>
        <w:pStyle w:val="CDINumberedList1L1"/>
        <w:divId w:val="935526654"/>
      </w:pPr>
      <w:proofErr w:type="spellStart"/>
      <w:r w:rsidRPr="00BA0B92">
        <w:t>Centers</w:t>
      </w:r>
      <w:proofErr w:type="spellEnd"/>
      <w:r w:rsidRPr="00BA0B92">
        <w:t xml:space="preserve"> for Disease Control and Prevention (CDC). Types of Influenza Viruses. [Webpage.] Atlanta: United States Government Department of Health and Human Services, CDC; 30 March 2023. Available</w:t>
      </w:r>
      <w:r w:rsidR="00FF61FA">
        <w:t> </w:t>
      </w:r>
      <w:r w:rsidRPr="00BA0B92">
        <w:t>from: https://www.cdc.gov/flu/about/viruses/types.htm.</w:t>
      </w:r>
    </w:p>
    <w:p w14:paraId="77262D23" w14:textId="77777777" w:rsidR="00BA0B92" w:rsidRPr="00BA0B92" w:rsidRDefault="00BA0B92" w:rsidP="00BA0B92">
      <w:pPr>
        <w:pStyle w:val="CDINumberedList1L1"/>
        <w:divId w:val="935526654"/>
      </w:pPr>
      <w:proofErr w:type="spellStart"/>
      <w:r w:rsidRPr="00BA0B92">
        <w:t>Nuwarda</w:t>
      </w:r>
      <w:proofErr w:type="spellEnd"/>
      <w:r w:rsidRPr="00BA0B92">
        <w:t xml:space="preserve"> RF, Alharbi AA, </w:t>
      </w:r>
      <w:proofErr w:type="spellStart"/>
      <w:r w:rsidRPr="00BA0B92">
        <w:t>Kayser</w:t>
      </w:r>
      <w:proofErr w:type="spellEnd"/>
      <w:r w:rsidRPr="00BA0B92">
        <w:t xml:space="preserve"> V. An overview of influenza viruses and vaccines. </w:t>
      </w:r>
      <w:r w:rsidRPr="00BA0B92">
        <w:rPr>
          <w:i/>
          <w:iCs/>
        </w:rPr>
        <w:t>Vaccines (Basel)</w:t>
      </w:r>
      <w:r w:rsidRPr="00BA0B92">
        <w:t>. 2021;9(9):1032. doi: https://doi.org/10.3390/vaccines9091032.</w:t>
      </w:r>
    </w:p>
    <w:p w14:paraId="0E9E9F43" w14:textId="77777777" w:rsidR="00BA0B92" w:rsidRPr="00BA0B92" w:rsidRDefault="00BA0B92" w:rsidP="00BA0B92">
      <w:pPr>
        <w:pStyle w:val="CDINumberedList1L1"/>
        <w:divId w:val="935526654"/>
      </w:pPr>
      <w:proofErr w:type="spellStart"/>
      <w:r w:rsidRPr="00BA0B92">
        <w:t>Tamerius</w:t>
      </w:r>
      <w:proofErr w:type="spellEnd"/>
      <w:r w:rsidRPr="00BA0B92">
        <w:t xml:space="preserve"> JD, Shaman J, Alonso WJ, Bloom-</w:t>
      </w:r>
      <w:proofErr w:type="spellStart"/>
      <w:r w:rsidRPr="00BA0B92">
        <w:t>Feshbach</w:t>
      </w:r>
      <w:proofErr w:type="spellEnd"/>
      <w:r w:rsidRPr="00BA0B92">
        <w:t xml:space="preserve"> K, </w:t>
      </w:r>
      <w:proofErr w:type="spellStart"/>
      <w:r w:rsidRPr="00BA0B92">
        <w:t>Uejio</w:t>
      </w:r>
      <w:proofErr w:type="spellEnd"/>
      <w:r w:rsidRPr="00BA0B92">
        <w:t xml:space="preserve"> CK, Comrie A et al. Environmental predictors of seasonal influenza epidemics across temperate and tropical climates. </w:t>
      </w:r>
      <w:proofErr w:type="spellStart"/>
      <w:r w:rsidRPr="00BA0B92">
        <w:rPr>
          <w:i/>
          <w:iCs/>
        </w:rPr>
        <w:t>PLoS</w:t>
      </w:r>
      <w:proofErr w:type="spellEnd"/>
      <w:r w:rsidRPr="00BA0B92">
        <w:rPr>
          <w:i/>
          <w:iCs/>
        </w:rPr>
        <w:t xml:space="preserve"> </w:t>
      </w:r>
      <w:proofErr w:type="spellStart"/>
      <w:r w:rsidRPr="00BA0B92">
        <w:rPr>
          <w:i/>
          <w:iCs/>
        </w:rPr>
        <w:t>Pathog</w:t>
      </w:r>
      <w:proofErr w:type="spellEnd"/>
      <w:r w:rsidRPr="00BA0B92">
        <w:t>. 2013;9(3</w:t>
      </w:r>
      <w:proofErr w:type="gramStart"/>
      <w:r w:rsidRPr="00BA0B92">
        <w:t>):e</w:t>
      </w:r>
      <w:proofErr w:type="gramEnd"/>
      <w:r w:rsidRPr="00BA0B92">
        <w:t>1003194. doi: https://doi.org/10.1371/journal.ppat.1003194.</w:t>
      </w:r>
    </w:p>
    <w:p w14:paraId="76509771" w14:textId="77777777" w:rsidR="00BA0B92" w:rsidRPr="00BA0B92" w:rsidRDefault="00BA0B92" w:rsidP="00BA0B92">
      <w:pPr>
        <w:pStyle w:val="CDINumberedList1L1"/>
        <w:divId w:val="935526654"/>
      </w:pPr>
      <w:r w:rsidRPr="00BA0B92">
        <w:t xml:space="preserve">Weinman AL, Sullivan SG, </w:t>
      </w:r>
      <w:proofErr w:type="spellStart"/>
      <w:r w:rsidRPr="00BA0B92">
        <w:t>Vijaykrishna</w:t>
      </w:r>
      <w:proofErr w:type="spellEnd"/>
      <w:r w:rsidRPr="00BA0B92">
        <w:t xml:space="preserve"> D, Markey P, Levy A, Miller A et al. Epidemiological trends in notified influenza cases in Australia’s Northern Territory, 2007-2016. </w:t>
      </w:r>
      <w:r w:rsidRPr="00BA0B92">
        <w:rPr>
          <w:i/>
          <w:iCs/>
        </w:rPr>
        <w:t>Influenza Other Respir Viruses</w:t>
      </w:r>
      <w:r w:rsidRPr="00BA0B92">
        <w:t>. 2020;14(5):541–50. doi: https://doi.org/10.1111/irv.12757.</w:t>
      </w:r>
    </w:p>
    <w:p w14:paraId="0CCEBC8B" w14:textId="77777777" w:rsidR="00BA0B92" w:rsidRPr="00BA0B92" w:rsidRDefault="00BA0B92" w:rsidP="00BA0B92">
      <w:pPr>
        <w:pStyle w:val="CDINumberedList1L1"/>
        <w:divId w:val="935526654"/>
      </w:pPr>
      <w:r w:rsidRPr="00BA0B92">
        <w:lastRenderedPageBreak/>
        <w:t xml:space="preserve">Moa AM, Adam DC, </w:t>
      </w:r>
      <w:proofErr w:type="spellStart"/>
      <w:r w:rsidRPr="00BA0B92">
        <w:t>MacIntyre</w:t>
      </w:r>
      <w:proofErr w:type="spellEnd"/>
      <w:r w:rsidRPr="00BA0B92">
        <w:t xml:space="preserve"> CR. Inter-seasonality of influenza in Australia. </w:t>
      </w:r>
      <w:r w:rsidRPr="00BA0B92">
        <w:rPr>
          <w:i/>
          <w:iCs/>
        </w:rPr>
        <w:t>Influenza Other Respir Viruses</w:t>
      </w:r>
      <w:r w:rsidRPr="00BA0B92">
        <w:t>. 2019;13(5):459–64. doi: https://doi.org/10.1111/irv.12642.</w:t>
      </w:r>
    </w:p>
    <w:p w14:paraId="7223E8F3" w14:textId="123A9ECB" w:rsidR="00BA0B92" w:rsidRPr="00BA0B92" w:rsidRDefault="00BA0B92" w:rsidP="00BA0B92">
      <w:pPr>
        <w:pStyle w:val="CDINumberedList1L1"/>
        <w:divId w:val="935526654"/>
      </w:pPr>
      <w:r w:rsidRPr="00BA0B92">
        <w:t xml:space="preserve">Global Burden of Disease Study 2017 Influenza Collaborators. Mortality, morbidity, and hospitalisations due to influenza lower respiratory tract infections, 2017: an analysis for the Global Burden of Disease Study 2017. </w:t>
      </w:r>
      <w:r w:rsidRPr="00BA0B92">
        <w:rPr>
          <w:i/>
          <w:iCs/>
        </w:rPr>
        <w:t>Lancet Respir Med</w:t>
      </w:r>
      <w:r w:rsidRPr="00BA0B92">
        <w:t xml:space="preserve">. 2019;7(1):69–89. </w:t>
      </w:r>
      <w:r w:rsidR="00FF61FA">
        <w:br/>
      </w:r>
      <w:r w:rsidRPr="00BA0B92">
        <w:t>doi: https://doi.org/10.1016/S2213-2600(18)30496-X.</w:t>
      </w:r>
    </w:p>
    <w:p w14:paraId="66ACA4EA" w14:textId="5C588719" w:rsidR="00BA0B92" w:rsidRPr="00BA0B92" w:rsidRDefault="00BA0B92" w:rsidP="00BA0B92">
      <w:pPr>
        <w:pStyle w:val="CDINumberedList1L1"/>
        <w:divId w:val="935526654"/>
      </w:pPr>
      <w:r w:rsidRPr="00BA0B92">
        <w:t xml:space="preserve">Australian Government Department of Health and Aged Care. </w:t>
      </w:r>
      <w:r w:rsidRPr="00BA0B92">
        <w:rPr>
          <w:i/>
          <w:iCs/>
        </w:rPr>
        <w:t>National Immunisation Strategy for Australia 2019–2024</w:t>
      </w:r>
      <w:r w:rsidRPr="00BA0B92">
        <w:t>. Canberra: Australian Government Department of Health and Aged Care; 17</w:t>
      </w:r>
      <w:r w:rsidR="00FF61FA">
        <w:t> </w:t>
      </w:r>
      <w:r w:rsidRPr="00BA0B92">
        <w:t>February 2019. Available from: https://www.health.gov.au/resources/publications/national-immunisation-strategy-for-australia-2019-to-2024.</w:t>
      </w:r>
    </w:p>
    <w:p w14:paraId="083FA1EB" w14:textId="7E13D978" w:rsidR="00BA0B92" w:rsidRPr="00BA0B92" w:rsidRDefault="00BA0B92" w:rsidP="00BA0B92">
      <w:pPr>
        <w:pStyle w:val="CDINumberedList1L1"/>
        <w:divId w:val="935526654"/>
      </w:pPr>
      <w:r w:rsidRPr="00BA0B92">
        <w:t xml:space="preserve">El </w:t>
      </w:r>
      <w:proofErr w:type="spellStart"/>
      <w:r w:rsidRPr="00BA0B92">
        <w:t>Guerche-Séblain</w:t>
      </w:r>
      <w:proofErr w:type="spellEnd"/>
      <w:r w:rsidRPr="00BA0B92">
        <w:t xml:space="preserve"> C, </w:t>
      </w:r>
      <w:proofErr w:type="spellStart"/>
      <w:r w:rsidRPr="00BA0B92">
        <w:t>Rigoine</w:t>
      </w:r>
      <w:proofErr w:type="spellEnd"/>
      <w:r w:rsidRPr="00BA0B92">
        <w:t xml:space="preserve"> De </w:t>
      </w:r>
      <w:proofErr w:type="spellStart"/>
      <w:r w:rsidRPr="00BA0B92">
        <w:t>Fougerolles</w:t>
      </w:r>
      <w:proofErr w:type="spellEnd"/>
      <w:r w:rsidRPr="00BA0B92">
        <w:t xml:space="preserve"> T, Sampson K, Jennings L, Van </w:t>
      </w:r>
      <w:proofErr w:type="spellStart"/>
      <w:r w:rsidRPr="00BA0B92">
        <w:t>Buynder</w:t>
      </w:r>
      <w:proofErr w:type="spellEnd"/>
      <w:r w:rsidRPr="00BA0B92">
        <w:t xml:space="preserve"> P, Shu Y et al. Comparison of influenza surveillance systems in Australia, China, </w:t>
      </w:r>
      <w:proofErr w:type="gramStart"/>
      <w:r w:rsidRPr="00BA0B92">
        <w:t>Malaysia</w:t>
      </w:r>
      <w:proofErr w:type="gramEnd"/>
      <w:r w:rsidRPr="00BA0B92">
        <w:t xml:space="preserve"> and expert recommendations for influenza control. </w:t>
      </w:r>
      <w:r w:rsidRPr="00BA0B92">
        <w:rPr>
          <w:i/>
          <w:iCs/>
        </w:rPr>
        <w:t>BMC Public Health</w:t>
      </w:r>
      <w:r w:rsidRPr="00BA0B92">
        <w:t>. 2021;21(1):1750. doi:</w:t>
      </w:r>
      <w:r w:rsidR="00FF61FA">
        <w:t> </w:t>
      </w:r>
      <w:r w:rsidRPr="00BA0B92">
        <w:t>https://doi.org/10.1186/s12889-021-11765-x.</w:t>
      </w:r>
    </w:p>
    <w:p w14:paraId="0C335FFC" w14:textId="77777777" w:rsidR="00BA0B92" w:rsidRPr="00BA0B92" w:rsidRDefault="00BA0B92" w:rsidP="00BA0B92">
      <w:pPr>
        <w:pStyle w:val="CDINumberedList1L1"/>
        <w:divId w:val="935526654"/>
      </w:pPr>
      <w:r w:rsidRPr="00BA0B92">
        <w:t xml:space="preserve">Patel C, Dey A, Wang H, McIntyre P, Macartney K, Beard F. Summary of National Surveillance Data on Vaccine Preventable Diseases in Australia, 2016-2018 Final Report. </w:t>
      </w:r>
      <w:r w:rsidRPr="00BA0B92">
        <w:rPr>
          <w:i/>
          <w:iCs/>
        </w:rPr>
        <w:t>Commun Dis Intell (2018)</w:t>
      </w:r>
      <w:r w:rsidRPr="00BA0B92">
        <w:t>. 2022;46. doi: https://doi.org/10.33321/cdi.2022.46.28.</w:t>
      </w:r>
    </w:p>
    <w:p w14:paraId="29F5EF16" w14:textId="77777777" w:rsidR="00BA0B92" w:rsidRPr="00BA0B92" w:rsidRDefault="00BA0B92" w:rsidP="00BA0B92">
      <w:pPr>
        <w:pStyle w:val="CDINumberedList1L1"/>
        <w:divId w:val="935526654"/>
      </w:pPr>
      <w:r w:rsidRPr="00BA0B92">
        <w:t xml:space="preserve">Cheng AC, Dwyer DE, Holmes M, Irving L, Simpson G, </w:t>
      </w:r>
      <w:proofErr w:type="spellStart"/>
      <w:r w:rsidRPr="00BA0B92">
        <w:t>Senenayake</w:t>
      </w:r>
      <w:proofErr w:type="spellEnd"/>
      <w:r w:rsidRPr="00BA0B92">
        <w:t xml:space="preserve"> S et al. Influenza epidemiology in patients admitted to sentinel Australian hospitals in 2019: the Influenza Complications Alert Network (FluCAN). </w:t>
      </w:r>
      <w:r w:rsidRPr="00BA0B92">
        <w:rPr>
          <w:i/>
          <w:iCs/>
        </w:rPr>
        <w:t>Commun Dis Intell (2018)</w:t>
      </w:r>
      <w:r w:rsidRPr="00BA0B92">
        <w:t>. 2022;46. doi: https://doi.org/10.33321/cdi.2022.46.14.</w:t>
      </w:r>
    </w:p>
    <w:p w14:paraId="5AE1DCBB" w14:textId="77777777" w:rsidR="00BA0B92" w:rsidRPr="00BA0B92" w:rsidRDefault="00BA0B92" w:rsidP="00BA0B92">
      <w:pPr>
        <w:pStyle w:val="CDINumberedList1L1"/>
        <w:divId w:val="935526654"/>
      </w:pPr>
      <w:r w:rsidRPr="00BA0B92">
        <w:t xml:space="preserve">Cheng AC, Holmes M, Dwyer DE, Senanayake S, Cooley L, Irving LB et al. Influenza epidemiology in patients admitted to sentinel Australian hospitals in 2018: the Influenza Complications Alert Network (FluCAN). </w:t>
      </w:r>
      <w:r w:rsidRPr="00BA0B92">
        <w:rPr>
          <w:i/>
          <w:iCs/>
        </w:rPr>
        <w:t>Commun Dis Intell (2018)</w:t>
      </w:r>
      <w:r w:rsidRPr="00BA0B92">
        <w:t>. 2019;43. doi: https://doi.org/10.33321/cdi.2019.43.48.</w:t>
      </w:r>
    </w:p>
    <w:p w14:paraId="25DDE58D" w14:textId="1BE32390" w:rsidR="00BA0B92" w:rsidRPr="00BA0B92" w:rsidRDefault="00BA0B92" w:rsidP="00BA0B92">
      <w:pPr>
        <w:pStyle w:val="CDINumberedList1L1"/>
        <w:divId w:val="935526654"/>
      </w:pPr>
      <w:r w:rsidRPr="00BA0B92">
        <w:t xml:space="preserve">Begum H, Dwyer DE, Holmes M, Irving L, Simpson G, </w:t>
      </w:r>
      <w:proofErr w:type="spellStart"/>
      <w:r w:rsidRPr="00BA0B92">
        <w:t>Senenayake</w:t>
      </w:r>
      <w:proofErr w:type="spellEnd"/>
      <w:r w:rsidRPr="00BA0B92">
        <w:t xml:space="preserve"> S et al. Surveillance for severe influenza and COVID-19 in patients admitted to sentinel Australian hospitals in 2020: the Influenza Complications Alert Network (FluCAN). </w:t>
      </w:r>
      <w:r w:rsidRPr="00BA0B92">
        <w:rPr>
          <w:i/>
          <w:iCs/>
        </w:rPr>
        <w:t>Commun Dis Intell (2018)</w:t>
      </w:r>
      <w:r w:rsidRPr="00BA0B92">
        <w:t>. 2022;46. doi:</w:t>
      </w:r>
      <w:r w:rsidR="00FF61FA">
        <w:t> </w:t>
      </w:r>
      <w:r w:rsidRPr="00BA0B92">
        <w:t>https://doi.org/10.33321/cdi.2022.46.13.</w:t>
      </w:r>
    </w:p>
    <w:p w14:paraId="4CBC101D"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Australian Influenza Surveillance Report (AISR) fortnightly report no. 14 – 26 September to 9 October 2022</w:t>
      </w:r>
      <w:r w:rsidRPr="00BA0B92">
        <w:t>. Canberra: Australian Government Department of Health and Aged Care; 14 October 2022. Available from: https://www.health.gov.au/resources/publications/aisr-fortnightly-report-no-14-26-september-to-9-october-2022.</w:t>
      </w:r>
    </w:p>
    <w:p w14:paraId="65C303B9" w14:textId="77777777" w:rsidR="00BA0B92" w:rsidRPr="00BA0B92" w:rsidRDefault="00BA0B92" w:rsidP="00BA0B92">
      <w:pPr>
        <w:pStyle w:val="CDINumberedList1L1"/>
        <w:divId w:val="935526654"/>
      </w:pPr>
      <w:r w:rsidRPr="00BA0B92">
        <w:t xml:space="preserve">Gibbons CL, </w:t>
      </w:r>
      <w:proofErr w:type="spellStart"/>
      <w:r w:rsidRPr="00BA0B92">
        <w:t>Mangen</w:t>
      </w:r>
      <w:proofErr w:type="spellEnd"/>
      <w:r w:rsidRPr="00BA0B92">
        <w:t xml:space="preserve"> MJ, </w:t>
      </w:r>
      <w:proofErr w:type="spellStart"/>
      <w:r w:rsidRPr="00BA0B92">
        <w:t>Plass</w:t>
      </w:r>
      <w:proofErr w:type="spellEnd"/>
      <w:r w:rsidRPr="00BA0B92">
        <w:t xml:space="preserve"> D, </w:t>
      </w:r>
      <w:proofErr w:type="spellStart"/>
      <w:r w:rsidRPr="00BA0B92">
        <w:t>Havelaar</w:t>
      </w:r>
      <w:proofErr w:type="spellEnd"/>
      <w:r w:rsidRPr="00BA0B92">
        <w:t xml:space="preserve"> AH, Brooke RJ, </w:t>
      </w:r>
      <w:proofErr w:type="spellStart"/>
      <w:r w:rsidRPr="00BA0B92">
        <w:t>Kramarz</w:t>
      </w:r>
      <w:proofErr w:type="spellEnd"/>
      <w:r w:rsidRPr="00BA0B92">
        <w:t xml:space="preserve"> P et al. Measuring underreporting and under-ascertainment in infectious disease datasets: a comparison of methods. </w:t>
      </w:r>
      <w:r w:rsidRPr="00BA0B92">
        <w:rPr>
          <w:i/>
          <w:iCs/>
        </w:rPr>
        <w:t>BMC Public Health</w:t>
      </w:r>
      <w:r w:rsidRPr="00BA0B92">
        <w:t xml:space="preserve">. </w:t>
      </w:r>
      <w:proofErr w:type="gramStart"/>
      <w:r w:rsidRPr="00BA0B92">
        <w:t>2014;14:147</w:t>
      </w:r>
      <w:proofErr w:type="gramEnd"/>
      <w:r w:rsidRPr="00BA0B92">
        <w:t>. doi: https://doi.org/10.1186/1471-2458-14-147.</w:t>
      </w:r>
    </w:p>
    <w:p w14:paraId="0572AC39" w14:textId="77777777" w:rsidR="00BA0B92" w:rsidRPr="00BA0B92" w:rsidRDefault="00BA0B92" w:rsidP="00BA0B92">
      <w:pPr>
        <w:pStyle w:val="CDINumberedList1L1"/>
        <w:divId w:val="935526654"/>
      </w:pPr>
      <w:r w:rsidRPr="00BA0B92">
        <w:t xml:space="preserve">McCarthy Z, Athar S, </w:t>
      </w:r>
      <w:proofErr w:type="spellStart"/>
      <w:r w:rsidRPr="00BA0B92">
        <w:t>Alavinejad</w:t>
      </w:r>
      <w:proofErr w:type="spellEnd"/>
      <w:r w:rsidRPr="00BA0B92">
        <w:t xml:space="preserve"> M, Chow C, Moyles I, Nah K et al. Quantifying the annual incidence and underestimation of seasonal influenza: a modelling approach. </w:t>
      </w:r>
      <w:proofErr w:type="spellStart"/>
      <w:r w:rsidRPr="00BA0B92">
        <w:rPr>
          <w:i/>
          <w:iCs/>
        </w:rPr>
        <w:t>Theor</w:t>
      </w:r>
      <w:proofErr w:type="spellEnd"/>
      <w:r w:rsidRPr="00BA0B92">
        <w:rPr>
          <w:i/>
          <w:iCs/>
        </w:rPr>
        <w:t xml:space="preserve"> </w:t>
      </w:r>
      <w:proofErr w:type="spellStart"/>
      <w:r w:rsidRPr="00BA0B92">
        <w:rPr>
          <w:i/>
          <w:iCs/>
        </w:rPr>
        <w:t>Biol</w:t>
      </w:r>
      <w:proofErr w:type="spellEnd"/>
      <w:r w:rsidRPr="00BA0B92">
        <w:rPr>
          <w:i/>
          <w:iCs/>
        </w:rPr>
        <w:t xml:space="preserve"> Med Model</w:t>
      </w:r>
      <w:r w:rsidRPr="00BA0B92">
        <w:t>. 2020;17(1):11. doi: https://doi.org/10.1186/s12976-020-00129-4.</w:t>
      </w:r>
    </w:p>
    <w:p w14:paraId="1B45BC49" w14:textId="77777777" w:rsidR="00BA0B92" w:rsidRPr="00BA0B92" w:rsidRDefault="00BA0B92" w:rsidP="00BA0B92">
      <w:pPr>
        <w:pStyle w:val="CDINumberedList1L1"/>
        <w:divId w:val="935526654"/>
      </w:pPr>
      <w:proofErr w:type="spellStart"/>
      <w:r w:rsidRPr="00BA0B92">
        <w:lastRenderedPageBreak/>
        <w:t>Nazareno</w:t>
      </w:r>
      <w:proofErr w:type="spellEnd"/>
      <w:r w:rsidRPr="00BA0B92">
        <w:t xml:space="preserve"> AL, </w:t>
      </w:r>
      <w:proofErr w:type="spellStart"/>
      <w:r w:rsidRPr="00BA0B92">
        <w:t>Muscatello</w:t>
      </w:r>
      <w:proofErr w:type="spellEnd"/>
      <w:r w:rsidRPr="00BA0B92">
        <w:t xml:space="preserve"> DJ, Turner RM, Wood JG, Moore HC, Newall AT. Modelled estimates of hospitalisations attributable to respiratory syncytial virus and influenza in Australia, 2009–2017. </w:t>
      </w:r>
      <w:r w:rsidRPr="00BA0B92">
        <w:rPr>
          <w:i/>
          <w:iCs/>
        </w:rPr>
        <w:t>Influenza Other Respir Viruses</w:t>
      </w:r>
      <w:r w:rsidRPr="00BA0B92">
        <w:t>. 2022;16(6):1082–90. doi: https://doi.org/10.1111/irv.13003.</w:t>
      </w:r>
    </w:p>
    <w:p w14:paraId="5D54EB20" w14:textId="77777777" w:rsidR="00BA0B92" w:rsidRPr="00BA0B92" w:rsidRDefault="00BA0B92" w:rsidP="00BA0B92">
      <w:pPr>
        <w:pStyle w:val="CDINumberedList1L1"/>
        <w:divId w:val="935526654"/>
      </w:pPr>
      <w:proofErr w:type="spellStart"/>
      <w:r w:rsidRPr="00BA0B92">
        <w:t>Muscatello</w:t>
      </w:r>
      <w:proofErr w:type="spellEnd"/>
      <w:r w:rsidRPr="00BA0B92">
        <w:t xml:space="preserve"> DJ, </w:t>
      </w:r>
      <w:proofErr w:type="spellStart"/>
      <w:r w:rsidRPr="00BA0B92">
        <w:t>Nazareno</w:t>
      </w:r>
      <w:proofErr w:type="spellEnd"/>
      <w:r w:rsidRPr="00BA0B92">
        <w:t xml:space="preserve"> AL, Turner RM, Newall AT. Influenza-associated mortality in Australia, 2010 through 2019: high modelled estimates in 2017. </w:t>
      </w:r>
      <w:r w:rsidRPr="00BA0B92">
        <w:rPr>
          <w:i/>
          <w:iCs/>
        </w:rPr>
        <w:t>Vaccine</w:t>
      </w:r>
      <w:r w:rsidRPr="00BA0B92">
        <w:t>. 2021;39(52):7578–83. doi: https://doi.org/10.1016/j.vaccine.2021.11.019.</w:t>
      </w:r>
    </w:p>
    <w:p w14:paraId="1DCD03B8" w14:textId="77777777" w:rsidR="00BA0B92" w:rsidRPr="00BA0B92" w:rsidRDefault="00BA0B92" w:rsidP="00BA0B92">
      <w:pPr>
        <w:pStyle w:val="CDINumberedList1L1"/>
        <w:divId w:val="935526654"/>
      </w:pPr>
      <w:proofErr w:type="spellStart"/>
      <w:r w:rsidRPr="00BA0B92">
        <w:t>Muscatello</w:t>
      </w:r>
      <w:proofErr w:type="spellEnd"/>
      <w:r w:rsidRPr="00BA0B92">
        <w:t xml:space="preserve"> DJ, Newall AT, Dwyer DE, Macintyre CR. Mortality attributable to seasonal and pandemic influenza, Australia, 2003 to 2009, using a novel time series smoothing approach. </w:t>
      </w:r>
      <w:proofErr w:type="spellStart"/>
      <w:r w:rsidRPr="00BA0B92">
        <w:rPr>
          <w:i/>
          <w:iCs/>
        </w:rPr>
        <w:t>PLoS</w:t>
      </w:r>
      <w:proofErr w:type="spellEnd"/>
      <w:r w:rsidRPr="00BA0B92">
        <w:rPr>
          <w:i/>
          <w:iCs/>
        </w:rPr>
        <w:t xml:space="preserve"> One</w:t>
      </w:r>
      <w:r w:rsidRPr="00BA0B92">
        <w:t>. 2014;8(6</w:t>
      </w:r>
      <w:proofErr w:type="gramStart"/>
      <w:r w:rsidRPr="00BA0B92">
        <w:t>):e</w:t>
      </w:r>
      <w:proofErr w:type="gramEnd"/>
      <w:r w:rsidRPr="00BA0B92">
        <w:t>64734. doi: https://doi.org/10.1371/journal.pone.0064734.</w:t>
      </w:r>
    </w:p>
    <w:p w14:paraId="5D145C32" w14:textId="77777777" w:rsidR="00BA0B92" w:rsidRPr="00BA0B92" w:rsidRDefault="00BA0B92" w:rsidP="00BA0B92">
      <w:pPr>
        <w:pStyle w:val="CDINumberedList1L1"/>
        <w:divId w:val="935526654"/>
      </w:pPr>
      <w:r w:rsidRPr="00BA0B92">
        <w:t xml:space="preserve">Li-Kim-Moy J, Yin JK, Rashid H, Khandaker G, King C, Wood N et al. Systematic review of fever, febrile convulsions and serious adverse events following administration of inactivated trivalent influenza vaccines in children. </w:t>
      </w:r>
      <w:r w:rsidRPr="00BA0B92">
        <w:rPr>
          <w:i/>
          <w:iCs/>
        </w:rPr>
        <w:t xml:space="preserve">Euro </w:t>
      </w:r>
      <w:proofErr w:type="spellStart"/>
      <w:r w:rsidRPr="00BA0B92">
        <w:rPr>
          <w:i/>
          <w:iCs/>
        </w:rPr>
        <w:t>Surveill</w:t>
      </w:r>
      <w:proofErr w:type="spellEnd"/>
      <w:r w:rsidRPr="00BA0B92">
        <w:t>. 2015;20(24). doi: https://doi.org/10.2807/1560-7917.es2015.20.24.21159.</w:t>
      </w:r>
    </w:p>
    <w:p w14:paraId="7121C666" w14:textId="77777777" w:rsidR="00BA0B92" w:rsidRPr="00BA0B92" w:rsidRDefault="00BA0B92" w:rsidP="00BA0B92">
      <w:pPr>
        <w:pStyle w:val="CDINumberedList1L1"/>
        <w:divId w:val="935526654"/>
      </w:pPr>
      <w:r w:rsidRPr="00BA0B92">
        <w:t xml:space="preserve">Dixit R, Webster F, </w:t>
      </w:r>
      <w:proofErr w:type="spellStart"/>
      <w:r w:rsidRPr="00BA0B92">
        <w:t>Booy</w:t>
      </w:r>
      <w:proofErr w:type="spellEnd"/>
      <w:r w:rsidRPr="00BA0B92">
        <w:t xml:space="preserve"> R, Menzies R. The role of chronic disease in the disparity of influenza incidence and severity between Indigenous and non-Indigenous Australian peoples during the 2009 influenza pandemic. </w:t>
      </w:r>
      <w:r w:rsidRPr="00BA0B92">
        <w:rPr>
          <w:i/>
          <w:iCs/>
        </w:rPr>
        <w:t>BMC Public Health</w:t>
      </w:r>
      <w:r w:rsidRPr="00BA0B92">
        <w:t>. 2022;22(1):1295. doi: https://doi.org/10.1186/s12889-022-12841-6.</w:t>
      </w:r>
    </w:p>
    <w:p w14:paraId="37C527E6" w14:textId="43FC9306" w:rsidR="00BA0B92" w:rsidRPr="00BA0B92" w:rsidRDefault="00BA0B92" w:rsidP="00BA0B92">
      <w:pPr>
        <w:pStyle w:val="CDINumberedList1L1"/>
        <w:divId w:val="935526654"/>
      </w:pPr>
      <w:r w:rsidRPr="00BA0B92">
        <w:t xml:space="preserve">Thurber KA, Barrett EM, Agostino J, Chamberlain C, Ward J, Wade V et al. Risk of severe illness from COVID-19 among Aboriginal and Torres Strait Islander adults: the construct of ‘vulnerable populations’ obscures the root causes of health inequities. </w:t>
      </w:r>
      <w:proofErr w:type="spellStart"/>
      <w:r w:rsidRPr="00BA0B92">
        <w:rPr>
          <w:i/>
          <w:iCs/>
        </w:rPr>
        <w:t>Aust</w:t>
      </w:r>
      <w:proofErr w:type="spellEnd"/>
      <w:r w:rsidRPr="00BA0B92">
        <w:rPr>
          <w:i/>
          <w:iCs/>
        </w:rPr>
        <w:t xml:space="preserve"> N Z J Public Health</w:t>
      </w:r>
      <w:r w:rsidRPr="00BA0B92">
        <w:t>. 2021;45(6):658–63. doi:</w:t>
      </w:r>
      <w:r w:rsidR="00FF61FA">
        <w:t> </w:t>
      </w:r>
      <w:r w:rsidRPr="00BA0B92">
        <w:t>https://doi.org/10.1111/1753-6405.13172.</w:t>
      </w:r>
    </w:p>
    <w:p w14:paraId="21986B50" w14:textId="77777777" w:rsidR="00BA0B92" w:rsidRPr="00BA0B92" w:rsidRDefault="00BA0B92" w:rsidP="00BA0B92">
      <w:pPr>
        <w:pStyle w:val="CDINumberedList1L1"/>
        <w:divId w:val="935526654"/>
      </w:pPr>
      <w:r w:rsidRPr="00BA0B92">
        <w:t xml:space="preserve">Jackson J, Sonneveld N, Rashid H, </w:t>
      </w:r>
      <w:proofErr w:type="spellStart"/>
      <w:r w:rsidRPr="00BA0B92">
        <w:t>Karpish</w:t>
      </w:r>
      <w:proofErr w:type="spellEnd"/>
      <w:r w:rsidRPr="00BA0B92">
        <w:t xml:space="preserve"> L, Wallace S, Whop L et al. Vaccine preventable diseases and vaccination coverage in Aboriginal and Torres Strait Islander people, Australia, 2016-2019. </w:t>
      </w:r>
      <w:r w:rsidRPr="00BA0B92">
        <w:rPr>
          <w:i/>
          <w:iCs/>
        </w:rPr>
        <w:t>Commun Dis Intell (2018)</w:t>
      </w:r>
      <w:r w:rsidRPr="00BA0B92">
        <w:t>. 2023;47. doi: https://doi.org/10.33321/cdi.2023.47.32.</w:t>
      </w:r>
    </w:p>
    <w:p w14:paraId="6F599DD9" w14:textId="77777777" w:rsidR="00BA0B92" w:rsidRPr="00BA0B92" w:rsidRDefault="00BA0B92" w:rsidP="00BA0B92">
      <w:pPr>
        <w:pStyle w:val="CDINumberedList1L1"/>
        <w:divId w:val="935526654"/>
      </w:pPr>
      <w:r w:rsidRPr="00BA0B92">
        <w:t>Australian Institute of Health and Welfare (AIHW). Data sources and quality. Canberra: AIHW; 2023. Available from: https://www.indigenoushpf.gov.au/resources/technical-appendix/data-sources-quality.</w:t>
      </w:r>
    </w:p>
    <w:p w14:paraId="5C097A1A" w14:textId="00D5B752" w:rsidR="00BA0B92" w:rsidRPr="00BA0B92" w:rsidRDefault="00BA0B92" w:rsidP="00BA0B92">
      <w:pPr>
        <w:pStyle w:val="CDINumberedList1L1"/>
        <w:divId w:val="935526654"/>
      </w:pPr>
      <w:r w:rsidRPr="00BA0B92">
        <w:t xml:space="preserve">Steering Committee for the Review of Government Service Provision. </w:t>
      </w:r>
      <w:r w:rsidRPr="00BA0B92">
        <w:rPr>
          <w:i/>
          <w:iCs/>
        </w:rPr>
        <w:t>Overcoming Indigenous Disadvantage: Key Indicators 2016</w:t>
      </w:r>
      <w:r w:rsidRPr="00BA0B92">
        <w:t>. Canberra: Australian Government Productivity Commission; 17</w:t>
      </w:r>
      <w:r w:rsidR="00FF61FA">
        <w:t> </w:t>
      </w:r>
      <w:r w:rsidRPr="00BA0B92">
        <w:t>November 2016. Available from: https://www.pc.gov.au/ongoing/overcoming-indigenous-disadvantage/2016.</w:t>
      </w:r>
    </w:p>
    <w:p w14:paraId="729E236A" w14:textId="1FDA6ED0" w:rsidR="00BA0B92" w:rsidRPr="00BA0B92" w:rsidRDefault="00BA0B92" w:rsidP="00BA0B92">
      <w:pPr>
        <w:pStyle w:val="CDINumberedList1L1"/>
        <w:divId w:val="935526654"/>
      </w:pPr>
      <w:r w:rsidRPr="00BA0B92">
        <w:t xml:space="preserve">Mertz D, Lo CK, </w:t>
      </w:r>
      <w:proofErr w:type="spellStart"/>
      <w:r w:rsidRPr="00BA0B92">
        <w:t>Lytvyn</w:t>
      </w:r>
      <w:proofErr w:type="spellEnd"/>
      <w:r w:rsidRPr="00BA0B92">
        <w:t xml:space="preserve"> L, Ortiz JR, Loeb M, </w:t>
      </w:r>
      <w:proofErr w:type="spellStart"/>
      <w:r w:rsidRPr="00BA0B92">
        <w:t>Flurisk</w:t>
      </w:r>
      <w:proofErr w:type="spellEnd"/>
      <w:r w:rsidRPr="00BA0B92">
        <w:t xml:space="preserve"> Investigators. Pregnancy as a risk factor for severe influenza infection: an individual participant data meta-analysis. </w:t>
      </w:r>
      <w:r w:rsidRPr="00BA0B92">
        <w:rPr>
          <w:i/>
          <w:iCs/>
        </w:rPr>
        <w:t>BMC Infect Dis</w:t>
      </w:r>
      <w:r w:rsidRPr="00BA0B92">
        <w:t>. 2019;19(1):683. doi:</w:t>
      </w:r>
      <w:r w:rsidR="00FF61FA">
        <w:t> </w:t>
      </w:r>
      <w:r w:rsidRPr="00BA0B92">
        <w:t>https://doi.org/10.1186/s12879-019-4318-3.</w:t>
      </w:r>
    </w:p>
    <w:p w14:paraId="37C18FE5" w14:textId="77777777" w:rsidR="00BA0B92" w:rsidRPr="00BA0B92" w:rsidRDefault="00BA0B92" w:rsidP="00BA0B92">
      <w:pPr>
        <w:pStyle w:val="CDINumberedList1L1"/>
        <w:divId w:val="935526654"/>
      </w:pPr>
      <w:r w:rsidRPr="00BA0B92">
        <w:t xml:space="preserve">Mertz D, Geraci J, </w:t>
      </w:r>
      <w:proofErr w:type="spellStart"/>
      <w:r w:rsidRPr="00BA0B92">
        <w:t>Winkup</w:t>
      </w:r>
      <w:proofErr w:type="spellEnd"/>
      <w:r w:rsidRPr="00BA0B92">
        <w:t xml:space="preserve"> J, Gessner BD, Ortiz JR, Loeb M. Pregnancy as a risk factor for severe outcomes from influenza virus infection: a systematic review and meta-analysis of observational studies. </w:t>
      </w:r>
      <w:r w:rsidRPr="00BA0B92">
        <w:rPr>
          <w:i/>
          <w:iCs/>
        </w:rPr>
        <w:t>Vaccine</w:t>
      </w:r>
      <w:r w:rsidRPr="00BA0B92">
        <w:t>. 2017;35(4):521–8. doi: https://doi.org/10.1016/j.vaccine.2016.12.012.</w:t>
      </w:r>
    </w:p>
    <w:p w14:paraId="17BA1DBC" w14:textId="77777777" w:rsidR="00BA0B92" w:rsidRPr="00BA0B92" w:rsidRDefault="00BA0B92" w:rsidP="00BA0B92">
      <w:pPr>
        <w:pStyle w:val="CDINumberedList1L1"/>
        <w:divId w:val="935526654"/>
      </w:pPr>
      <w:r w:rsidRPr="00BA0B92">
        <w:lastRenderedPageBreak/>
        <w:t xml:space="preserve">He J, Liu ZW, Lu YP, Li TY, Liang XJ, </w:t>
      </w:r>
      <w:proofErr w:type="spellStart"/>
      <w:r w:rsidRPr="00BA0B92">
        <w:t>Arck</w:t>
      </w:r>
      <w:proofErr w:type="spellEnd"/>
      <w:r w:rsidRPr="00BA0B92">
        <w:t xml:space="preserve"> PC, et al. A systematic review and meta-analysis of influenza A virus infection during pregnancy associated with an increased risk for stillbirth and low birth weight. </w:t>
      </w:r>
      <w:r w:rsidRPr="00BA0B92">
        <w:rPr>
          <w:i/>
          <w:iCs/>
        </w:rPr>
        <w:t>Kidney Blood Press Res</w:t>
      </w:r>
      <w:r w:rsidRPr="00BA0B92">
        <w:t>. 2017;42(2):232–43. doi: https://doi.org/10.1159/000477221.</w:t>
      </w:r>
    </w:p>
    <w:p w14:paraId="5A136B18" w14:textId="77777777" w:rsidR="00BA0B92" w:rsidRPr="00BA0B92" w:rsidRDefault="00BA0B92" w:rsidP="00BA0B92">
      <w:pPr>
        <w:pStyle w:val="CDINumberedList1L1"/>
        <w:divId w:val="935526654"/>
      </w:pPr>
      <w:r w:rsidRPr="00BA0B92">
        <w:t xml:space="preserve">Ribeiro AF, </w:t>
      </w:r>
      <w:proofErr w:type="spellStart"/>
      <w:r w:rsidRPr="00BA0B92">
        <w:t>Pellini</w:t>
      </w:r>
      <w:proofErr w:type="spellEnd"/>
      <w:r w:rsidRPr="00BA0B92">
        <w:t xml:space="preserve"> ACG, Kitagawa BY, Marques D, </w:t>
      </w:r>
      <w:proofErr w:type="spellStart"/>
      <w:r w:rsidRPr="00BA0B92">
        <w:t>Madalosso</w:t>
      </w:r>
      <w:proofErr w:type="spellEnd"/>
      <w:r w:rsidRPr="00BA0B92">
        <w:t xml:space="preserve"> G, Fred J et al. Severe influenza A(H1N</w:t>
      </w:r>
      <w:proofErr w:type="gramStart"/>
      <w:r w:rsidRPr="00BA0B92">
        <w:t>1)pdm</w:t>
      </w:r>
      <w:proofErr w:type="gramEnd"/>
      <w:r w:rsidRPr="00BA0B92">
        <w:t xml:space="preserve">09 in pregnant women and neonatal outcomes, State of Sao Paulo, Brazil, 2009. </w:t>
      </w:r>
      <w:proofErr w:type="spellStart"/>
      <w:r w:rsidRPr="00BA0B92">
        <w:rPr>
          <w:i/>
          <w:iCs/>
        </w:rPr>
        <w:t>PLoS</w:t>
      </w:r>
      <w:proofErr w:type="spellEnd"/>
      <w:r w:rsidRPr="00BA0B92">
        <w:rPr>
          <w:i/>
          <w:iCs/>
        </w:rPr>
        <w:t xml:space="preserve"> One</w:t>
      </w:r>
      <w:r w:rsidRPr="00BA0B92">
        <w:t>. 2018;13(3</w:t>
      </w:r>
      <w:proofErr w:type="gramStart"/>
      <w:r w:rsidRPr="00BA0B92">
        <w:t>):e</w:t>
      </w:r>
      <w:proofErr w:type="gramEnd"/>
      <w:r w:rsidRPr="00BA0B92">
        <w:t>0194392. doi: https://doi.org/10.1371/journal.pone.0194392.</w:t>
      </w:r>
    </w:p>
    <w:p w14:paraId="36006198" w14:textId="77777777" w:rsidR="00BA0B92" w:rsidRPr="00BA0B92" w:rsidRDefault="00BA0B92" w:rsidP="00BA0B92">
      <w:pPr>
        <w:pStyle w:val="CDINumberedList1L1"/>
        <w:divId w:val="935526654"/>
      </w:pPr>
      <w:r w:rsidRPr="00BA0B92">
        <w:t xml:space="preserve">Martin A, Cox S, Jamieson DJ, Whiteman MK, Kulkarni A, Tepper NK. Respiratory illness hospitalizations among pregnant women during influenza season, 1998–2008. </w:t>
      </w:r>
      <w:proofErr w:type="spellStart"/>
      <w:r w:rsidRPr="00BA0B92">
        <w:rPr>
          <w:i/>
          <w:iCs/>
        </w:rPr>
        <w:t>Matern</w:t>
      </w:r>
      <w:proofErr w:type="spellEnd"/>
      <w:r w:rsidRPr="00BA0B92">
        <w:rPr>
          <w:i/>
          <w:iCs/>
        </w:rPr>
        <w:t xml:space="preserve"> Child Health J</w:t>
      </w:r>
      <w:r w:rsidRPr="00BA0B92">
        <w:t>. 2013;17(7):1325–31. doi: https://doi.org/10.1007/s10995-012-1135-3.</w:t>
      </w:r>
    </w:p>
    <w:p w14:paraId="47ACD0F2" w14:textId="564E710A" w:rsidR="00BA0B92" w:rsidRPr="00BA0B92" w:rsidRDefault="00BA0B92" w:rsidP="00BA0B92">
      <w:pPr>
        <w:pStyle w:val="CDINumberedList1L1"/>
        <w:divId w:val="935526654"/>
      </w:pPr>
      <w:r w:rsidRPr="00BA0B92">
        <w:t xml:space="preserve">Norman DA, Cheng AC, Macartney KK, Moore HC, </w:t>
      </w:r>
      <w:proofErr w:type="spellStart"/>
      <w:r w:rsidRPr="00BA0B92">
        <w:t>Danchin</w:t>
      </w:r>
      <w:proofErr w:type="spellEnd"/>
      <w:r w:rsidRPr="00BA0B92">
        <w:t xml:space="preserve"> M, Seale H et al. Influenza hospitalizations in Australian children 2010–2019: the impact of medical comorbidities on outcomes, vaccine coverage, and effectiveness. </w:t>
      </w:r>
      <w:r w:rsidRPr="00BA0B92">
        <w:rPr>
          <w:i/>
          <w:iCs/>
        </w:rPr>
        <w:t>Influenza Other Respir Viruses</w:t>
      </w:r>
      <w:r w:rsidRPr="00BA0B92">
        <w:t>. 2022;16(2):316–27. doi:</w:t>
      </w:r>
      <w:r w:rsidR="00FF61FA">
        <w:t> </w:t>
      </w:r>
      <w:r w:rsidRPr="00BA0B92">
        <w:t>https://doi.org/10.1111/irv.12939.</w:t>
      </w:r>
    </w:p>
    <w:p w14:paraId="4BD8ADC1" w14:textId="0D6807E8" w:rsidR="00BA0B92" w:rsidRPr="00BA0B92" w:rsidRDefault="00BA0B92" w:rsidP="00BA0B92">
      <w:pPr>
        <w:pStyle w:val="CDINumberedList1L1"/>
        <w:divId w:val="935526654"/>
      </w:pPr>
      <w:r w:rsidRPr="00BA0B92">
        <w:t xml:space="preserve">Walker TA, Waite B, Thompson MG, McArthur C, Wong C, Baker MG et al. Risk of severe influenza among adults with chronic medical conditions. </w:t>
      </w:r>
      <w:r w:rsidRPr="00BA0B92">
        <w:rPr>
          <w:i/>
          <w:iCs/>
        </w:rPr>
        <w:t>J Infect Dis</w:t>
      </w:r>
      <w:r w:rsidRPr="00BA0B92">
        <w:t>. 2020;221(2):183–90. doi:</w:t>
      </w:r>
      <w:r w:rsidR="00FF61FA">
        <w:t> </w:t>
      </w:r>
      <w:r w:rsidRPr="00BA0B92">
        <w:t>https://doi.org/10.1093/infdis/jiz570.</w:t>
      </w:r>
    </w:p>
    <w:p w14:paraId="528E96C9" w14:textId="77777777" w:rsidR="00BA0B92" w:rsidRPr="00BA0B92" w:rsidRDefault="00BA0B92" w:rsidP="00BA0B92">
      <w:pPr>
        <w:pStyle w:val="CDINumberedList1L1"/>
        <w:divId w:val="935526654"/>
      </w:pPr>
      <w:r w:rsidRPr="00BA0B92">
        <w:t xml:space="preserve">Gill PJ, Ashdown HF, Wang K, Heneghan C, Roberts NW, </w:t>
      </w:r>
      <w:proofErr w:type="spellStart"/>
      <w:r w:rsidRPr="00BA0B92">
        <w:t>Harnden</w:t>
      </w:r>
      <w:proofErr w:type="spellEnd"/>
      <w:r w:rsidRPr="00BA0B92">
        <w:t xml:space="preserve"> A et al. Identification of children at risk of influenza-related complications in primary and ambulatory care: a systematic review and meta-analysis. </w:t>
      </w:r>
      <w:r w:rsidRPr="00BA0B92">
        <w:rPr>
          <w:i/>
          <w:iCs/>
        </w:rPr>
        <w:t>Lancet Respir Med</w:t>
      </w:r>
      <w:r w:rsidRPr="00BA0B92">
        <w:t>. 2015;3(2):139–49. doi: https://doi.org/10.1016/S2213-2600(14)70252-8.</w:t>
      </w:r>
    </w:p>
    <w:p w14:paraId="433B7669" w14:textId="13BCA038" w:rsidR="00BA0B92" w:rsidRPr="00BA0B92" w:rsidRDefault="00BA0B92" w:rsidP="00BA0B92">
      <w:pPr>
        <w:pStyle w:val="CDINumberedList1L1"/>
        <w:divId w:val="935526654"/>
      </w:pPr>
      <w:r w:rsidRPr="00BA0B92">
        <w:t xml:space="preserve">Mertz D, Kim TH, Johnstone J, Lam PP, Science M, </w:t>
      </w:r>
      <w:proofErr w:type="spellStart"/>
      <w:r w:rsidRPr="00BA0B92">
        <w:t>Kuster</w:t>
      </w:r>
      <w:proofErr w:type="spellEnd"/>
      <w:r w:rsidRPr="00BA0B92">
        <w:t xml:space="preserve"> SP et al. Populations at risk for severe or complicated influenza illness: systematic review and meta-analysis. </w:t>
      </w:r>
      <w:r w:rsidRPr="00BA0B92">
        <w:rPr>
          <w:i/>
          <w:iCs/>
        </w:rPr>
        <w:t>BMJ</w:t>
      </w:r>
      <w:r w:rsidRPr="00BA0B92">
        <w:t>. 2013;</w:t>
      </w:r>
      <w:proofErr w:type="gramStart"/>
      <w:r w:rsidRPr="00BA0B92">
        <w:t>347:f</w:t>
      </w:r>
      <w:proofErr w:type="gramEnd"/>
      <w:r w:rsidRPr="00BA0B92">
        <w:t>5061. doi:</w:t>
      </w:r>
      <w:r w:rsidR="00FF61FA">
        <w:t> </w:t>
      </w:r>
      <w:r w:rsidRPr="00BA0B92">
        <w:t>https://doi.org/10.1136/bmj.f5061.</w:t>
      </w:r>
    </w:p>
    <w:p w14:paraId="5B3A685E" w14:textId="77777777" w:rsidR="00BA0B92" w:rsidRPr="00BA0B92" w:rsidRDefault="00BA0B92" w:rsidP="00BA0B92">
      <w:pPr>
        <w:pStyle w:val="CDINumberedList1L1"/>
        <w:divId w:val="935526654"/>
      </w:pPr>
      <w:proofErr w:type="spellStart"/>
      <w:r w:rsidRPr="00BA0B92">
        <w:t>Izurieta</w:t>
      </w:r>
      <w:proofErr w:type="spellEnd"/>
      <w:r w:rsidRPr="00BA0B92">
        <w:t xml:space="preserve"> HS, Lu M, </w:t>
      </w:r>
      <w:proofErr w:type="spellStart"/>
      <w:r w:rsidRPr="00BA0B92">
        <w:t>Kelman</w:t>
      </w:r>
      <w:proofErr w:type="spellEnd"/>
      <w:r w:rsidRPr="00BA0B92">
        <w:t xml:space="preserve"> J, Lu Y, </w:t>
      </w:r>
      <w:proofErr w:type="spellStart"/>
      <w:r w:rsidRPr="00BA0B92">
        <w:t>Lindaas</w:t>
      </w:r>
      <w:proofErr w:type="spellEnd"/>
      <w:r w:rsidRPr="00BA0B92">
        <w:t xml:space="preserve"> A, Loc J et al. Comparative effectiveness of influenza vaccines among US </w:t>
      </w:r>
      <w:proofErr w:type="spellStart"/>
      <w:r w:rsidRPr="00BA0B92">
        <w:t>medicare</w:t>
      </w:r>
      <w:proofErr w:type="spellEnd"/>
      <w:r w:rsidRPr="00BA0B92">
        <w:t xml:space="preserve"> beneficiaries ages 65 years and older during the 2019–2020 season. </w:t>
      </w:r>
      <w:r w:rsidRPr="00BA0B92">
        <w:rPr>
          <w:i/>
          <w:iCs/>
        </w:rPr>
        <w:t>Clin Infect Dis</w:t>
      </w:r>
      <w:r w:rsidRPr="00BA0B92">
        <w:t>. 2021;73(11</w:t>
      </w:r>
      <w:proofErr w:type="gramStart"/>
      <w:r w:rsidRPr="00BA0B92">
        <w:t>):e</w:t>
      </w:r>
      <w:proofErr w:type="gramEnd"/>
      <w:r w:rsidRPr="00BA0B92">
        <w:t>4251–9. doi: https://doi.org/10.1093/cid/ciaa1727.</w:t>
      </w:r>
    </w:p>
    <w:p w14:paraId="6AC2D043" w14:textId="77777777" w:rsidR="00BA0B92" w:rsidRPr="00BA0B92" w:rsidRDefault="00BA0B92" w:rsidP="00BA0B92">
      <w:pPr>
        <w:pStyle w:val="CDINumberedList1L1"/>
        <w:divId w:val="935526654"/>
      </w:pPr>
      <w:proofErr w:type="spellStart"/>
      <w:r w:rsidRPr="00BA0B92">
        <w:t>Bruxvoort</w:t>
      </w:r>
      <w:proofErr w:type="spellEnd"/>
      <w:r w:rsidRPr="00BA0B92">
        <w:t xml:space="preserve"> KJ, Luo Y, Ackerson B, Tanenbaum HC, Sy LS, Gandhi A et al. Comparison of vaccine effectiveness against influenza hospitalization of cell-based and egg-based influenza vaccines, 2017–2018. </w:t>
      </w:r>
      <w:r w:rsidRPr="00BA0B92">
        <w:rPr>
          <w:i/>
          <w:iCs/>
        </w:rPr>
        <w:t>Vaccine</w:t>
      </w:r>
      <w:r w:rsidRPr="00BA0B92">
        <w:t>. 2019;37(39):5807–11. doi: https://doi.org/10.1016/j.vaccine.2019.08.024.</w:t>
      </w:r>
    </w:p>
    <w:p w14:paraId="4EBC8CAE" w14:textId="77777777" w:rsidR="00BA0B92" w:rsidRPr="00BA0B92" w:rsidRDefault="00BA0B92" w:rsidP="00BA0B92">
      <w:pPr>
        <w:pStyle w:val="CDINumberedList1L1"/>
        <w:divId w:val="935526654"/>
      </w:pPr>
      <w:r w:rsidRPr="00BA0B92">
        <w:t xml:space="preserve">Martin ET, Cheng C, Petrie JG, </w:t>
      </w:r>
      <w:proofErr w:type="spellStart"/>
      <w:r w:rsidRPr="00BA0B92">
        <w:t>Alyanak</w:t>
      </w:r>
      <w:proofErr w:type="spellEnd"/>
      <w:r w:rsidRPr="00BA0B92">
        <w:t xml:space="preserve"> E, </w:t>
      </w:r>
      <w:proofErr w:type="spellStart"/>
      <w:r w:rsidRPr="00BA0B92">
        <w:t>Gaglani</w:t>
      </w:r>
      <w:proofErr w:type="spellEnd"/>
      <w:r w:rsidRPr="00BA0B92">
        <w:t xml:space="preserve"> M, Middleton DB et al. Low influenza vaccine effectiveness against A(H3N2)-associated hospitalizations in 2016–2017 and 2017–2018 of the Hospitalized Adult Influenza Vaccine Effectiveness Network (HAIVEN). </w:t>
      </w:r>
      <w:r w:rsidRPr="00BA0B92">
        <w:rPr>
          <w:i/>
          <w:iCs/>
        </w:rPr>
        <w:t>J Infect Dis</w:t>
      </w:r>
      <w:r w:rsidRPr="00BA0B92">
        <w:t>. 2021;223(12):2062–71. doi: https://doi.org/10.1093/infdis/jiaa685.</w:t>
      </w:r>
    </w:p>
    <w:p w14:paraId="326DD018" w14:textId="388F95E3" w:rsidR="00BA0B92" w:rsidRPr="00BA0B92" w:rsidRDefault="00BA0B92" w:rsidP="00BA0B92">
      <w:pPr>
        <w:pStyle w:val="CDINumberedList1L1"/>
        <w:divId w:val="935526654"/>
      </w:pPr>
      <w:r w:rsidRPr="00BA0B92">
        <w:t xml:space="preserve">DeMarcus L, </w:t>
      </w:r>
      <w:proofErr w:type="spellStart"/>
      <w:r w:rsidRPr="00BA0B92">
        <w:t>Shoubaki</w:t>
      </w:r>
      <w:proofErr w:type="spellEnd"/>
      <w:r w:rsidRPr="00BA0B92">
        <w:t xml:space="preserve"> L, </w:t>
      </w:r>
      <w:proofErr w:type="spellStart"/>
      <w:r w:rsidRPr="00BA0B92">
        <w:t>Federinko</w:t>
      </w:r>
      <w:proofErr w:type="spellEnd"/>
      <w:r w:rsidRPr="00BA0B92">
        <w:t xml:space="preserve"> S. Comparing influenza vaccine effectiveness between cell-derived and egg-derived vaccines, 2017–2018 influenza season. </w:t>
      </w:r>
      <w:r w:rsidRPr="00BA0B92">
        <w:rPr>
          <w:i/>
          <w:iCs/>
        </w:rPr>
        <w:t>Vaccine</w:t>
      </w:r>
      <w:r w:rsidRPr="00BA0B92">
        <w:t>. 2019;37(30):4015–21. doi:</w:t>
      </w:r>
      <w:r w:rsidR="00FF61FA">
        <w:t> </w:t>
      </w:r>
      <w:r w:rsidRPr="00BA0B92">
        <w:t>https://doi.org/10.1016/j.vaccine.2019.06.004.</w:t>
      </w:r>
    </w:p>
    <w:p w14:paraId="39D4FD3D" w14:textId="77777777" w:rsidR="00BA0B92" w:rsidRPr="00BA0B92" w:rsidRDefault="00BA0B92" w:rsidP="00BA0B92">
      <w:pPr>
        <w:pStyle w:val="CDINumberedList1L1"/>
        <w:divId w:val="935526654"/>
      </w:pPr>
      <w:proofErr w:type="spellStart"/>
      <w:r w:rsidRPr="00BA0B92">
        <w:t>Mohn</w:t>
      </w:r>
      <w:proofErr w:type="spellEnd"/>
      <w:r w:rsidRPr="00BA0B92">
        <w:t xml:space="preserve"> KGI, Smith I, </w:t>
      </w:r>
      <w:proofErr w:type="spellStart"/>
      <w:r w:rsidRPr="00BA0B92">
        <w:t>Sjursen</w:t>
      </w:r>
      <w:proofErr w:type="spellEnd"/>
      <w:r w:rsidRPr="00BA0B92">
        <w:t xml:space="preserve"> H, Cox RJ. Immune responses after </w:t>
      </w:r>
      <w:proofErr w:type="gramStart"/>
      <w:r w:rsidRPr="00BA0B92">
        <w:t>live</w:t>
      </w:r>
      <w:proofErr w:type="gramEnd"/>
      <w:r w:rsidRPr="00BA0B92">
        <w:t xml:space="preserve"> attenuated influenza vaccination. </w:t>
      </w:r>
      <w:r w:rsidRPr="00BA0B92">
        <w:rPr>
          <w:i/>
          <w:iCs/>
        </w:rPr>
        <w:t xml:space="preserve">Hum </w:t>
      </w:r>
      <w:proofErr w:type="spellStart"/>
      <w:r w:rsidRPr="00BA0B92">
        <w:rPr>
          <w:i/>
          <w:iCs/>
        </w:rPr>
        <w:t>Vaccin</w:t>
      </w:r>
      <w:proofErr w:type="spellEnd"/>
      <w:r w:rsidRPr="00BA0B92">
        <w:rPr>
          <w:i/>
          <w:iCs/>
        </w:rPr>
        <w:t xml:space="preserve"> </w:t>
      </w:r>
      <w:proofErr w:type="spellStart"/>
      <w:r w:rsidRPr="00BA0B92">
        <w:rPr>
          <w:i/>
          <w:iCs/>
        </w:rPr>
        <w:t>Immunother</w:t>
      </w:r>
      <w:proofErr w:type="spellEnd"/>
      <w:r w:rsidRPr="00BA0B92">
        <w:t>. 2018;14(3):571–8. doi: https://doi.org/10.1080/21645515.2017.1377376.</w:t>
      </w:r>
    </w:p>
    <w:p w14:paraId="3B03E2CE" w14:textId="77777777" w:rsidR="00BA0B92" w:rsidRPr="00BA0B92" w:rsidRDefault="00BA0B92" w:rsidP="00BA0B92">
      <w:pPr>
        <w:pStyle w:val="CDINumberedList1L1"/>
        <w:divId w:val="935526654"/>
      </w:pPr>
      <w:proofErr w:type="spellStart"/>
      <w:r w:rsidRPr="00BA0B92">
        <w:lastRenderedPageBreak/>
        <w:t>Kassianos</w:t>
      </w:r>
      <w:proofErr w:type="spellEnd"/>
      <w:r w:rsidRPr="00BA0B92">
        <w:t xml:space="preserve"> G, MacDonald P, Aloysius I, Reynolds A. Implementation of the United Kingdom’s childhood influenza national vaccination programme: a review of clinical impact and lessons learned over six influenza seasons. </w:t>
      </w:r>
      <w:r w:rsidRPr="00BA0B92">
        <w:rPr>
          <w:i/>
          <w:iCs/>
        </w:rPr>
        <w:t>Vaccine</w:t>
      </w:r>
      <w:r w:rsidRPr="00BA0B92">
        <w:t>. 2020;38(36):5747–58. doi: https://doi.org/10.1016/j.vaccine.2020.06.065.</w:t>
      </w:r>
    </w:p>
    <w:p w14:paraId="1F20C3EB" w14:textId="77777777" w:rsidR="00BA0B92" w:rsidRPr="00BA0B92" w:rsidRDefault="00BA0B92" w:rsidP="00BA0B92">
      <w:pPr>
        <w:pStyle w:val="CDINumberedList1L1"/>
        <w:divId w:val="935526654"/>
      </w:pPr>
      <w:r w:rsidRPr="00BA0B92">
        <w:t xml:space="preserve">Ambrose CS, Wu X, </w:t>
      </w:r>
      <w:proofErr w:type="spellStart"/>
      <w:r w:rsidRPr="00BA0B92">
        <w:t>Knuf</w:t>
      </w:r>
      <w:proofErr w:type="spellEnd"/>
      <w:r w:rsidRPr="00BA0B92">
        <w:t xml:space="preserve"> M, </w:t>
      </w:r>
      <w:proofErr w:type="spellStart"/>
      <w:r w:rsidRPr="00BA0B92">
        <w:t>Wutzler</w:t>
      </w:r>
      <w:proofErr w:type="spellEnd"/>
      <w:r w:rsidRPr="00BA0B92">
        <w:t xml:space="preserve"> P. The efficacy of intranasal live attenuated influenza vaccine in children 2 through 17 years of age: a meta-analysis of 8 randomized controlled studies. </w:t>
      </w:r>
      <w:r w:rsidRPr="00BA0B92">
        <w:rPr>
          <w:i/>
          <w:iCs/>
        </w:rPr>
        <w:t>Vaccine</w:t>
      </w:r>
      <w:r w:rsidRPr="00BA0B92">
        <w:t>. 2012;30(5):886–92. doi: https://doi.org/10.1016/j.vaccine.2011.11.104.</w:t>
      </w:r>
    </w:p>
    <w:p w14:paraId="4708C1FF" w14:textId="04296C83" w:rsidR="00BA0B92" w:rsidRPr="00BA0B92" w:rsidRDefault="00BA0B92" w:rsidP="00BA0B92">
      <w:pPr>
        <w:pStyle w:val="CDINumberedList1L1"/>
        <w:divId w:val="935526654"/>
      </w:pPr>
      <w:r w:rsidRPr="00BA0B92">
        <w:t xml:space="preserve">Osterholm MT, Kelley NS, Sommer A, </w:t>
      </w:r>
      <w:proofErr w:type="spellStart"/>
      <w:r w:rsidRPr="00BA0B92">
        <w:t>Belongia</w:t>
      </w:r>
      <w:proofErr w:type="spellEnd"/>
      <w:r w:rsidRPr="00BA0B92">
        <w:t xml:space="preserve"> EA. </w:t>
      </w:r>
      <w:proofErr w:type="gramStart"/>
      <w:r w:rsidRPr="00BA0B92">
        <w:t>Efficacy</w:t>
      </w:r>
      <w:proofErr w:type="gramEnd"/>
      <w:r w:rsidRPr="00BA0B92">
        <w:t xml:space="preserve"> and effectiveness of influenza vaccines: a</w:t>
      </w:r>
      <w:r w:rsidR="00FF61FA">
        <w:t> </w:t>
      </w:r>
      <w:r w:rsidRPr="00BA0B92">
        <w:t xml:space="preserve">systematic review and meta-analysis. </w:t>
      </w:r>
      <w:r w:rsidRPr="00BA0B92">
        <w:rPr>
          <w:i/>
          <w:iCs/>
        </w:rPr>
        <w:t>Lancet Infect Dis</w:t>
      </w:r>
      <w:r w:rsidRPr="00BA0B92">
        <w:t>. 2012;12(1):36–44. doi: https://doi.org/10.1016/s1473-3099(11)70295-x.</w:t>
      </w:r>
    </w:p>
    <w:p w14:paraId="3607333F" w14:textId="30EFFC5D" w:rsidR="00BA0B92" w:rsidRPr="00BA0B92" w:rsidRDefault="00BA0B92" w:rsidP="00BA0B92">
      <w:pPr>
        <w:pStyle w:val="CDINumberedList1L1"/>
        <w:divId w:val="935526654"/>
      </w:pPr>
      <w:proofErr w:type="spellStart"/>
      <w:r w:rsidRPr="00BA0B92">
        <w:t>Grohskopf</w:t>
      </w:r>
      <w:proofErr w:type="spellEnd"/>
      <w:r w:rsidRPr="00BA0B92">
        <w:t xml:space="preserve"> LA, Sokolow LZ, Broder KR, Walter EB, Fry AM, Jernigan DB. </w:t>
      </w:r>
      <w:proofErr w:type="gramStart"/>
      <w:r w:rsidRPr="00BA0B92">
        <w:t>Prevention</w:t>
      </w:r>
      <w:proofErr w:type="gramEnd"/>
      <w:r w:rsidRPr="00BA0B92">
        <w:t xml:space="preserve"> and control of seasonal influenza with vaccines: recommendations of the Advisory Committee on Immunization Practices—United States, 2018–19 influenza season. </w:t>
      </w:r>
      <w:r w:rsidRPr="00BA0B92">
        <w:rPr>
          <w:i/>
          <w:iCs/>
        </w:rPr>
        <w:t xml:space="preserve">MMWR </w:t>
      </w:r>
      <w:proofErr w:type="spellStart"/>
      <w:r w:rsidRPr="00BA0B92">
        <w:rPr>
          <w:i/>
          <w:iCs/>
        </w:rPr>
        <w:t>Recomm</w:t>
      </w:r>
      <w:proofErr w:type="spellEnd"/>
      <w:r w:rsidRPr="00BA0B92">
        <w:rPr>
          <w:i/>
          <w:iCs/>
        </w:rPr>
        <w:t xml:space="preserve"> Rep</w:t>
      </w:r>
      <w:r w:rsidRPr="00BA0B92">
        <w:t>. 2018;67(3):1–20. doi:</w:t>
      </w:r>
      <w:r w:rsidR="00FF61FA">
        <w:t> </w:t>
      </w:r>
      <w:r w:rsidRPr="00BA0B92">
        <w:t>https://doi.org/10.15585/mmwr.rr6703a1.</w:t>
      </w:r>
    </w:p>
    <w:p w14:paraId="4D45C909" w14:textId="0AEF6FA5" w:rsidR="00BA0B92" w:rsidRPr="00BA0B92" w:rsidRDefault="00BA0B92" w:rsidP="00BA0B92">
      <w:pPr>
        <w:pStyle w:val="CDINumberedList1L1"/>
        <w:divId w:val="935526654"/>
      </w:pPr>
      <w:proofErr w:type="spellStart"/>
      <w:r w:rsidRPr="00BA0B92">
        <w:t>Grohskopf</w:t>
      </w:r>
      <w:proofErr w:type="spellEnd"/>
      <w:r w:rsidRPr="00BA0B92">
        <w:t xml:space="preserve"> LA, Sokolow LZ, Olsen SJ, </w:t>
      </w:r>
      <w:proofErr w:type="spellStart"/>
      <w:r w:rsidRPr="00BA0B92">
        <w:t>Bresee</w:t>
      </w:r>
      <w:proofErr w:type="spellEnd"/>
      <w:r w:rsidRPr="00BA0B92">
        <w:t xml:space="preserve"> JS, Broder KR, </w:t>
      </w:r>
      <w:proofErr w:type="spellStart"/>
      <w:r w:rsidRPr="00BA0B92">
        <w:t>Karron</w:t>
      </w:r>
      <w:proofErr w:type="spellEnd"/>
      <w:r w:rsidRPr="00BA0B92">
        <w:t xml:space="preserve"> RA. </w:t>
      </w:r>
      <w:proofErr w:type="gramStart"/>
      <w:r w:rsidRPr="00BA0B92">
        <w:t>Prevention</w:t>
      </w:r>
      <w:proofErr w:type="gramEnd"/>
      <w:r w:rsidRPr="00BA0B92">
        <w:t xml:space="preserve"> and control of influenza with vaccines: recommendations of the Advisory Committee on Immunization Practices, United States, 2015–16 Influenza Season. </w:t>
      </w:r>
      <w:r w:rsidRPr="00BA0B92">
        <w:rPr>
          <w:i/>
          <w:iCs/>
        </w:rPr>
        <w:t xml:space="preserve">MMWR </w:t>
      </w:r>
      <w:proofErr w:type="spellStart"/>
      <w:r w:rsidRPr="00BA0B92">
        <w:rPr>
          <w:i/>
          <w:iCs/>
        </w:rPr>
        <w:t>Morb</w:t>
      </w:r>
      <w:proofErr w:type="spellEnd"/>
      <w:r w:rsidRPr="00BA0B92">
        <w:rPr>
          <w:i/>
          <w:iCs/>
        </w:rPr>
        <w:t xml:space="preserve"> Mortal </w:t>
      </w:r>
      <w:proofErr w:type="spellStart"/>
      <w:r w:rsidRPr="00BA0B92">
        <w:rPr>
          <w:i/>
          <w:iCs/>
        </w:rPr>
        <w:t>Wkly</w:t>
      </w:r>
      <w:proofErr w:type="spellEnd"/>
      <w:r w:rsidRPr="00BA0B92">
        <w:rPr>
          <w:i/>
          <w:iCs/>
        </w:rPr>
        <w:t xml:space="preserve"> Rep</w:t>
      </w:r>
      <w:r w:rsidRPr="00BA0B92">
        <w:t>. 2015;64(30):818–25. doi:</w:t>
      </w:r>
      <w:r w:rsidR="00FF61FA">
        <w:t> </w:t>
      </w:r>
      <w:r w:rsidRPr="00BA0B92">
        <w:t>https://doi.org/10.15585/mmwr.mm6430a3.</w:t>
      </w:r>
    </w:p>
    <w:p w14:paraId="093E2D3F" w14:textId="77777777" w:rsidR="00BA0B92" w:rsidRPr="00BA0B92" w:rsidRDefault="00BA0B92" w:rsidP="00BA0B92">
      <w:pPr>
        <w:pStyle w:val="CDINumberedList1L1"/>
        <w:divId w:val="935526654"/>
      </w:pPr>
      <w:proofErr w:type="spellStart"/>
      <w:r w:rsidRPr="00BA0B92">
        <w:t>Pebody</w:t>
      </w:r>
      <w:proofErr w:type="spellEnd"/>
      <w:r w:rsidRPr="00BA0B92">
        <w:t xml:space="preserve"> R, McMenamin J, </w:t>
      </w:r>
      <w:proofErr w:type="spellStart"/>
      <w:r w:rsidRPr="00BA0B92">
        <w:t>Nohynek</w:t>
      </w:r>
      <w:proofErr w:type="spellEnd"/>
      <w:r w:rsidRPr="00BA0B92">
        <w:t xml:space="preserve"> H. Live attenuated influenza vaccine (LAIV): recent effectiveness results from the USA and implications for LAIV programmes elsewhere. </w:t>
      </w:r>
      <w:r w:rsidRPr="00BA0B92">
        <w:rPr>
          <w:i/>
          <w:iCs/>
        </w:rPr>
        <w:t>Arch Dis Child</w:t>
      </w:r>
      <w:r w:rsidRPr="00BA0B92">
        <w:t>. 2018;103(1):101–5. doi: https://doi.org/10.1136/archdischild-2016-312165.</w:t>
      </w:r>
    </w:p>
    <w:p w14:paraId="315A8E99" w14:textId="512E3087" w:rsidR="00BA0B92" w:rsidRPr="00BA0B92" w:rsidRDefault="00BA0B92" w:rsidP="00BA0B92">
      <w:pPr>
        <w:pStyle w:val="CDINumberedList1L1"/>
        <w:divId w:val="935526654"/>
      </w:pPr>
      <w:r w:rsidRPr="00BA0B92">
        <w:t>CDC. Live Attenuated Influenza Vaccine [LAIV] (The Nasal Spray Flu Vaccine). [Webpage.] Atlanta: United States Government Department of Health and Human Services, CDC; 25 August 2022. Available</w:t>
      </w:r>
      <w:r w:rsidR="00FF61FA">
        <w:t> </w:t>
      </w:r>
      <w:r w:rsidRPr="00BA0B92">
        <w:t>from: https://www.cdc.gov/flu/prevent/nasalspray.htm.</w:t>
      </w:r>
    </w:p>
    <w:p w14:paraId="7A1D4CB5" w14:textId="77777777" w:rsidR="00BA0B92" w:rsidRPr="00BA0B92" w:rsidRDefault="00BA0B92" w:rsidP="00BA0B92">
      <w:pPr>
        <w:pStyle w:val="CDINumberedList1L1"/>
        <w:divId w:val="935526654"/>
      </w:pPr>
      <w:r w:rsidRPr="00BA0B92">
        <w:t xml:space="preserve">CDC. Prevention and control of seasonal influenza with vaccines. Recommendations of the Advisory Committee on Immunization Practices--United States, 2013-2014. </w:t>
      </w:r>
      <w:r w:rsidRPr="00BA0B92">
        <w:rPr>
          <w:i/>
          <w:iCs/>
        </w:rPr>
        <w:t xml:space="preserve">MMWR </w:t>
      </w:r>
      <w:proofErr w:type="spellStart"/>
      <w:r w:rsidRPr="00BA0B92">
        <w:rPr>
          <w:i/>
          <w:iCs/>
        </w:rPr>
        <w:t>Recomm</w:t>
      </w:r>
      <w:proofErr w:type="spellEnd"/>
      <w:r w:rsidRPr="00BA0B92">
        <w:rPr>
          <w:i/>
          <w:iCs/>
        </w:rPr>
        <w:t xml:space="preserve"> Rep</w:t>
      </w:r>
      <w:r w:rsidRPr="00BA0B92">
        <w:t>. 2013;62(RR-07):1–43.</w:t>
      </w:r>
    </w:p>
    <w:p w14:paraId="5114C6BF" w14:textId="77777777" w:rsidR="00BA0B92" w:rsidRPr="00BA0B92" w:rsidRDefault="00BA0B92" w:rsidP="00BA0B92">
      <w:pPr>
        <w:pStyle w:val="CDINumberedList1L1"/>
        <w:divId w:val="935526654"/>
      </w:pPr>
      <w:r w:rsidRPr="00BA0B92">
        <w:t>CDC. Recombinant Influenza (Flu) Vaccine. [Webpage.] Atlanta: United States Government Department of Health and Human Services, CDC; 25 August 2023. Available from: https://www.cdc.gov/flu/prevent/qa_flublok-vaccine.htm.</w:t>
      </w:r>
    </w:p>
    <w:p w14:paraId="25196521" w14:textId="77777777" w:rsidR="00BA0B92" w:rsidRPr="00BA0B92" w:rsidRDefault="00BA0B92" w:rsidP="00BA0B92">
      <w:pPr>
        <w:pStyle w:val="CDINumberedList1L1"/>
        <w:divId w:val="935526654"/>
      </w:pPr>
      <w:proofErr w:type="spellStart"/>
      <w:r w:rsidRPr="00BA0B92">
        <w:t>Murchu</w:t>
      </w:r>
      <w:proofErr w:type="spellEnd"/>
      <w:r w:rsidRPr="00BA0B92">
        <w:t xml:space="preserve"> EO, Comber L, Jordan K, Hawkshaw S, Marshall L, O’Neill M et al. Systematic review of the efficacy, </w:t>
      </w:r>
      <w:proofErr w:type="gramStart"/>
      <w:r w:rsidRPr="00BA0B92">
        <w:t>effectiveness</w:t>
      </w:r>
      <w:proofErr w:type="gramEnd"/>
      <w:r w:rsidRPr="00BA0B92">
        <w:t xml:space="preserve"> and safety of recombinant haemagglutinin seasonal influenza vaccines for the prevention of laboratory-confirmed influenza in individuals ≥18 years of age. </w:t>
      </w:r>
      <w:r w:rsidRPr="00BA0B92">
        <w:rPr>
          <w:i/>
          <w:iCs/>
        </w:rPr>
        <w:t xml:space="preserve">Rev Med </w:t>
      </w:r>
      <w:proofErr w:type="spellStart"/>
      <w:r w:rsidRPr="00BA0B92">
        <w:rPr>
          <w:i/>
          <w:iCs/>
        </w:rPr>
        <w:t>Virol</w:t>
      </w:r>
      <w:proofErr w:type="spellEnd"/>
      <w:r w:rsidRPr="00BA0B92">
        <w:t>. 2022;33(3</w:t>
      </w:r>
      <w:proofErr w:type="gramStart"/>
      <w:r w:rsidRPr="00BA0B92">
        <w:t>):e</w:t>
      </w:r>
      <w:proofErr w:type="gramEnd"/>
      <w:r w:rsidRPr="00BA0B92">
        <w:t>2331. doi: https://doi.org/10.1002/rmv.2331.</w:t>
      </w:r>
    </w:p>
    <w:p w14:paraId="5A49715D" w14:textId="77777777" w:rsidR="00BA0B92" w:rsidRPr="00BA0B92" w:rsidRDefault="00BA0B92" w:rsidP="00BA0B92">
      <w:pPr>
        <w:pStyle w:val="CDINumberedList1L1"/>
        <w:divId w:val="935526654"/>
      </w:pPr>
      <w:r w:rsidRPr="00BA0B92">
        <w:t xml:space="preserve">Harding AT, Heaton NS. Efforts to improve the seasonal influenza vaccine. </w:t>
      </w:r>
      <w:r w:rsidRPr="00BA0B92">
        <w:rPr>
          <w:i/>
          <w:iCs/>
        </w:rPr>
        <w:t>Vaccines (Basel)</w:t>
      </w:r>
      <w:r w:rsidRPr="00BA0B92">
        <w:t>. 2018;6(2):19. doi: https://doi.org/10.3390/vaccines6020019.</w:t>
      </w:r>
    </w:p>
    <w:p w14:paraId="4E8ED679" w14:textId="77777777" w:rsidR="00BA0B92" w:rsidRPr="00BA0B92" w:rsidRDefault="00BA0B92" w:rsidP="00BA0B92">
      <w:pPr>
        <w:pStyle w:val="CDINumberedList1L1"/>
        <w:divId w:val="935526654"/>
      </w:pPr>
      <w:r w:rsidRPr="00BA0B92">
        <w:lastRenderedPageBreak/>
        <w:t xml:space="preserve">Sullivan SG, Komadina N, Grant K, </w:t>
      </w:r>
      <w:proofErr w:type="spellStart"/>
      <w:r w:rsidRPr="00BA0B92">
        <w:t>Jelley</w:t>
      </w:r>
      <w:proofErr w:type="spellEnd"/>
      <w:r w:rsidRPr="00BA0B92">
        <w:t xml:space="preserve"> L, Papadakis G, Kelly H. Influenza vaccine effectiveness during the 2012 influenza season in Victoria, Australia: influences of waning immunity and vaccine match. </w:t>
      </w:r>
      <w:r w:rsidRPr="00BA0B92">
        <w:rPr>
          <w:i/>
          <w:iCs/>
        </w:rPr>
        <w:t xml:space="preserve">J Med </w:t>
      </w:r>
      <w:proofErr w:type="spellStart"/>
      <w:r w:rsidRPr="00BA0B92">
        <w:rPr>
          <w:i/>
          <w:iCs/>
        </w:rPr>
        <w:t>Virol</w:t>
      </w:r>
      <w:proofErr w:type="spellEnd"/>
      <w:r w:rsidRPr="00BA0B92">
        <w:t>. 2014;86(6):1017–25. doi: https://doi.org/10.1002/jmv.23847.</w:t>
      </w:r>
    </w:p>
    <w:p w14:paraId="58C6CA0E" w14:textId="05F152E6" w:rsidR="00BA0B92" w:rsidRPr="00BA0B92" w:rsidRDefault="00BA0B92" w:rsidP="00BA0B92">
      <w:pPr>
        <w:pStyle w:val="CDINumberedList1L1"/>
        <w:divId w:val="935526654"/>
      </w:pPr>
      <w:r w:rsidRPr="00BA0B92">
        <w:t xml:space="preserve">Kissling E, Nunes B, Robertson C, Valenciano M, Reuss A, </w:t>
      </w:r>
      <w:proofErr w:type="spellStart"/>
      <w:r w:rsidRPr="00BA0B92">
        <w:t>Larrauri</w:t>
      </w:r>
      <w:proofErr w:type="spellEnd"/>
      <w:r w:rsidRPr="00BA0B92">
        <w:t xml:space="preserve"> A et al. I-MOVE multicentre case-control study 2010/11 to 2014/15: is there within-season waning of influenza type/subtype vaccine effectiveness with increasing time since vaccination? </w:t>
      </w:r>
      <w:r w:rsidRPr="00BA0B92">
        <w:rPr>
          <w:i/>
          <w:iCs/>
        </w:rPr>
        <w:t xml:space="preserve">Euro </w:t>
      </w:r>
      <w:proofErr w:type="spellStart"/>
      <w:r w:rsidRPr="00BA0B92">
        <w:rPr>
          <w:i/>
          <w:iCs/>
        </w:rPr>
        <w:t>Surveill</w:t>
      </w:r>
      <w:proofErr w:type="spellEnd"/>
      <w:r w:rsidRPr="00BA0B92">
        <w:t>. 2016;21(16). doi:</w:t>
      </w:r>
      <w:r w:rsidR="00FF61FA">
        <w:t> </w:t>
      </w:r>
      <w:r w:rsidRPr="00BA0B92">
        <w:t>https://doi.org/10.2807/1560-7917.ES.2016.21.16.30201.</w:t>
      </w:r>
    </w:p>
    <w:p w14:paraId="5D425CB7" w14:textId="77777777" w:rsidR="00BA0B92" w:rsidRPr="00BA0B92" w:rsidRDefault="00BA0B92" w:rsidP="00BA0B92">
      <w:pPr>
        <w:pStyle w:val="CDINumberedList1L1"/>
        <w:divId w:val="935526654"/>
      </w:pPr>
      <w:r w:rsidRPr="00BA0B92">
        <w:t>Castilla J, Martínez-Baz I, Martínez-</w:t>
      </w:r>
      <w:proofErr w:type="spellStart"/>
      <w:r w:rsidRPr="00BA0B92">
        <w:t>Artola</w:t>
      </w:r>
      <w:proofErr w:type="spellEnd"/>
      <w:r w:rsidRPr="00BA0B92">
        <w:t xml:space="preserve"> V, Reina G, </w:t>
      </w:r>
      <w:proofErr w:type="spellStart"/>
      <w:r w:rsidRPr="00BA0B92">
        <w:t>Pozo</w:t>
      </w:r>
      <w:proofErr w:type="spellEnd"/>
      <w:r w:rsidRPr="00BA0B92">
        <w:t xml:space="preserve"> F, García </w:t>
      </w:r>
      <w:proofErr w:type="spellStart"/>
      <w:r w:rsidRPr="00BA0B92">
        <w:t>Cenoz</w:t>
      </w:r>
      <w:proofErr w:type="spellEnd"/>
      <w:r w:rsidRPr="00BA0B92">
        <w:t xml:space="preserve"> M et al. Decline in influenza vaccine effectiveness with time after vaccination, Navarre, Spain, season 2011/12. </w:t>
      </w:r>
      <w:r w:rsidRPr="00BA0B92">
        <w:rPr>
          <w:i/>
          <w:iCs/>
        </w:rPr>
        <w:t xml:space="preserve">Euro </w:t>
      </w:r>
      <w:proofErr w:type="spellStart"/>
      <w:r w:rsidRPr="00BA0B92">
        <w:rPr>
          <w:i/>
          <w:iCs/>
        </w:rPr>
        <w:t>Surveill</w:t>
      </w:r>
      <w:proofErr w:type="spellEnd"/>
      <w:r w:rsidRPr="00BA0B92">
        <w:t>. 2013;18(5):20388. doi: https://doi.org/10.2807/ese.18.05.20388-en.</w:t>
      </w:r>
    </w:p>
    <w:p w14:paraId="55EBCC52" w14:textId="77777777" w:rsidR="00BA0B92" w:rsidRPr="00BA0B92" w:rsidRDefault="00BA0B92" w:rsidP="00BA0B92">
      <w:pPr>
        <w:pStyle w:val="CDINumberedList1L1"/>
        <w:divId w:val="935526654"/>
      </w:pPr>
      <w:proofErr w:type="spellStart"/>
      <w:r w:rsidRPr="00BA0B92">
        <w:t>Pebody</w:t>
      </w:r>
      <w:proofErr w:type="spellEnd"/>
      <w:r w:rsidRPr="00BA0B92">
        <w:t xml:space="preserve"> RG, Andrews N, McMenamin J, </w:t>
      </w:r>
      <w:proofErr w:type="spellStart"/>
      <w:r w:rsidRPr="00BA0B92">
        <w:t>Durnall</w:t>
      </w:r>
      <w:proofErr w:type="spellEnd"/>
      <w:r w:rsidRPr="00BA0B92">
        <w:t xml:space="preserve"> H, Ellis J, Thompson CI et al. Vaccine effectiveness of 2011/12 trivalent seasonal influenza vaccine in preventing laboratory-confirmed influenza in primary care in the United Kingdom: evidence of waning intra-seasonal protection. </w:t>
      </w:r>
      <w:r w:rsidRPr="00BA0B92">
        <w:rPr>
          <w:i/>
          <w:iCs/>
        </w:rPr>
        <w:t xml:space="preserve">Euro </w:t>
      </w:r>
      <w:proofErr w:type="spellStart"/>
      <w:r w:rsidRPr="00BA0B92">
        <w:rPr>
          <w:i/>
          <w:iCs/>
        </w:rPr>
        <w:t>Surveill</w:t>
      </w:r>
      <w:proofErr w:type="spellEnd"/>
      <w:r w:rsidRPr="00BA0B92">
        <w:t>. 2013;18(5):20389. doi: https://doi.org/10.2807/ese.18.05.20389-en.</w:t>
      </w:r>
    </w:p>
    <w:p w14:paraId="520A3896" w14:textId="77777777" w:rsidR="00BA0B92" w:rsidRPr="00BA0B92" w:rsidRDefault="00BA0B92" w:rsidP="00BA0B92">
      <w:pPr>
        <w:pStyle w:val="CDINumberedList1L1"/>
        <w:divId w:val="935526654"/>
      </w:pPr>
      <w:proofErr w:type="spellStart"/>
      <w:r w:rsidRPr="00BA0B92">
        <w:t>Gherasim</w:t>
      </w:r>
      <w:proofErr w:type="spellEnd"/>
      <w:r w:rsidRPr="00BA0B92">
        <w:t xml:space="preserve"> A, </w:t>
      </w:r>
      <w:proofErr w:type="spellStart"/>
      <w:r w:rsidRPr="00BA0B92">
        <w:t>Pozo</w:t>
      </w:r>
      <w:proofErr w:type="spellEnd"/>
      <w:r w:rsidRPr="00BA0B92">
        <w:t xml:space="preserve"> F, de Mateo S, </w:t>
      </w:r>
      <w:proofErr w:type="spellStart"/>
      <w:r w:rsidRPr="00BA0B92">
        <w:t>Gamarra</w:t>
      </w:r>
      <w:proofErr w:type="spellEnd"/>
      <w:r w:rsidRPr="00BA0B92">
        <w:t xml:space="preserve"> IA, Garcia-</w:t>
      </w:r>
      <w:proofErr w:type="spellStart"/>
      <w:r w:rsidRPr="00BA0B92">
        <w:t>Cenoz</w:t>
      </w:r>
      <w:proofErr w:type="spellEnd"/>
      <w:r w:rsidRPr="00BA0B92">
        <w:t xml:space="preserve"> M, Vega T et al. Waning protection of influenza vaccine against mild laboratory confirmed influenza A(H3N2) and B in Spain, season 2014–15. </w:t>
      </w:r>
      <w:r w:rsidRPr="00BA0B92">
        <w:rPr>
          <w:i/>
          <w:iCs/>
        </w:rPr>
        <w:t>Vaccine</w:t>
      </w:r>
      <w:r w:rsidRPr="00BA0B92">
        <w:t>. 2016;34(20):2371–7. doi: https://doi.org/10.1016/j.vaccine.2016.03.035.</w:t>
      </w:r>
    </w:p>
    <w:p w14:paraId="6D29A150" w14:textId="7EC0F820" w:rsidR="00BA0B92" w:rsidRPr="00BA0B92" w:rsidRDefault="00BA0B92" w:rsidP="00BA0B92">
      <w:pPr>
        <w:pStyle w:val="CDINumberedList1L1"/>
        <w:divId w:val="935526654"/>
      </w:pPr>
      <w:r w:rsidRPr="00BA0B92">
        <w:t xml:space="preserve">Kissling E, Valenciano M, </w:t>
      </w:r>
      <w:proofErr w:type="spellStart"/>
      <w:r w:rsidRPr="00BA0B92">
        <w:t>Larrauri</w:t>
      </w:r>
      <w:proofErr w:type="spellEnd"/>
      <w:r w:rsidRPr="00BA0B92">
        <w:t xml:space="preserve"> A, </w:t>
      </w:r>
      <w:proofErr w:type="spellStart"/>
      <w:r w:rsidRPr="00BA0B92">
        <w:t>Oroszi</w:t>
      </w:r>
      <w:proofErr w:type="spellEnd"/>
      <w:r w:rsidRPr="00BA0B92">
        <w:t xml:space="preserve"> B, Cohen JM, Nunes B et al. Low and decreasing vaccine effectiveness against influenza A(H3) in 2011/12 among vaccination target groups in Europe: results from the I-MOVE multicentre case-control study. </w:t>
      </w:r>
      <w:r w:rsidRPr="00BA0B92">
        <w:rPr>
          <w:i/>
          <w:iCs/>
        </w:rPr>
        <w:t xml:space="preserve">Euro </w:t>
      </w:r>
      <w:proofErr w:type="spellStart"/>
      <w:r w:rsidRPr="00BA0B92">
        <w:rPr>
          <w:i/>
          <w:iCs/>
        </w:rPr>
        <w:t>Surveill</w:t>
      </w:r>
      <w:proofErr w:type="spellEnd"/>
      <w:r w:rsidRPr="00BA0B92">
        <w:t>. 2013;18(5):20390. doi:</w:t>
      </w:r>
      <w:r w:rsidR="00FF61FA">
        <w:t> </w:t>
      </w:r>
      <w:r w:rsidRPr="00BA0B92">
        <w:t>https://doi.org/10.2807/ese.18.05.20390-en.</w:t>
      </w:r>
    </w:p>
    <w:p w14:paraId="711E7D8F" w14:textId="77777777" w:rsidR="00BA0B92" w:rsidRPr="00BA0B92" w:rsidRDefault="00BA0B92" w:rsidP="00BA0B92">
      <w:pPr>
        <w:pStyle w:val="CDINumberedList1L1"/>
        <w:divId w:val="935526654"/>
      </w:pPr>
      <w:r w:rsidRPr="00BA0B92">
        <w:t xml:space="preserve">Mahajan D, </w:t>
      </w:r>
      <w:proofErr w:type="spellStart"/>
      <w:r w:rsidRPr="00BA0B92">
        <w:t>Roomiani</w:t>
      </w:r>
      <w:proofErr w:type="spellEnd"/>
      <w:r w:rsidRPr="00BA0B92">
        <w:t xml:space="preserve"> I, Gold MS, Lawrence GL, McIntyre PB, Menzies RI. Annual report: surveillance of adverse events following immunisation in Australia, 2009. </w:t>
      </w:r>
      <w:r w:rsidRPr="00BA0B92">
        <w:rPr>
          <w:i/>
          <w:iCs/>
        </w:rPr>
        <w:t>Commun Dis Intell Q Rep</w:t>
      </w:r>
      <w:r w:rsidRPr="00BA0B92">
        <w:t>. 2010;34(3):259–76.</w:t>
      </w:r>
    </w:p>
    <w:p w14:paraId="39C3CEC3" w14:textId="2BAEBDA7" w:rsidR="00BA0B92" w:rsidRPr="00BA0B92" w:rsidRDefault="00BA0B92" w:rsidP="00BA0B92">
      <w:pPr>
        <w:pStyle w:val="CDINumberedList1L1"/>
        <w:divId w:val="935526654"/>
      </w:pPr>
      <w:r w:rsidRPr="00BA0B92">
        <w:t>Mahajan D, Cook J, McIntyre P, Macartney K, Menzies R. Supplementary report: Surveillance of adverse events following immunisation among children aged less than seven years in Australia, 1 January to 30</w:t>
      </w:r>
      <w:r w:rsidR="00A9655B">
        <w:t> </w:t>
      </w:r>
      <w:r w:rsidRPr="00BA0B92">
        <w:t xml:space="preserve">June 2011. </w:t>
      </w:r>
      <w:r w:rsidRPr="00BA0B92">
        <w:rPr>
          <w:i/>
          <w:iCs/>
        </w:rPr>
        <w:t>Commun Dis Intell Q Rep</w:t>
      </w:r>
      <w:r w:rsidRPr="00BA0B92">
        <w:t>. 2012;36(1):114–9.</w:t>
      </w:r>
    </w:p>
    <w:p w14:paraId="27DFD367" w14:textId="677C564B" w:rsidR="00BA0B92" w:rsidRPr="00BA0B92" w:rsidRDefault="00BA0B92" w:rsidP="00BA0B92">
      <w:pPr>
        <w:pStyle w:val="CDINumberedList1L1"/>
        <w:divId w:val="935526654"/>
      </w:pPr>
      <w:r w:rsidRPr="00BA0B92">
        <w:t xml:space="preserve">Wood NJ, Blyth CC, Willis GA, Richmond P, Gold MS, Buttery JP et al. The safety of seasonal influenza vaccines in Australian children in 2013. </w:t>
      </w:r>
      <w:r w:rsidRPr="00BA0B92">
        <w:rPr>
          <w:i/>
          <w:iCs/>
        </w:rPr>
        <w:t>Med J Aust</w:t>
      </w:r>
      <w:r w:rsidRPr="00BA0B92">
        <w:t>. 2014;201(10):596–600. doi:</w:t>
      </w:r>
      <w:r w:rsidR="00A9655B">
        <w:t> </w:t>
      </w:r>
      <w:r w:rsidRPr="00BA0B92">
        <w:t>https://doi.org/10.5694/mja13.00097.</w:t>
      </w:r>
    </w:p>
    <w:p w14:paraId="50BDD19C" w14:textId="4006D43F" w:rsidR="00BA0B92" w:rsidRPr="00BA0B92" w:rsidRDefault="00BA0B92" w:rsidP="00BA0B92">
      <w:pPr>
        <w:pStyle w:val="CDINumberedList1L1"/>
        <w:divId w:val="935526654"/>
      </w:pPr>
      <w:proofErr w:type="spellStart"/>
      <w:r w:rsidRPr="00BA0B92">
        <w:t>Kumabe</w:t>
      </w:r>
      <w:proofErr w:type="spellEnd"/>
      <w:r w:rsidRPr="00BA0B92">
        <w:t xml:space="preserve"> A, </w:t>
      </w:r>
      <w:proofErr w:type="spellStart"/>
      <w:r w:rsidRPr="00BA0B92">
        <w:t>Kenzaka</w:t>
      </w:r>
      <w:proofErr w:type="spellEnd"/>
      <w:r w:rsidRPr="00BA0B92">
        <w:t xml:space="preserve"> T, Yahata S, </w:t>
      </w:r>
      <w:proofErr w:type="spellStart"/>
      <w:r w:rsidRPr="00BA0B92">
        <w:t>Goda</w:t>
      </w:r>
      <w:proofErr w:type="spellEnd"/>
      <w:r w:rsidRPr="00BA0B92">
        <w:t xml:space="preserve"> K, Okayama M. Evaluation of adverse reactions to influenza vaccination: a prospective cohort study. </w:t>
      </w:r>
      <w:r w:rsidRPr="00BA0B92">
        <w:rPr>
          <w:i/>
          <w:iCs/>
        </w:rPr>
        <w:t>Vaccines (Basel)</w:t>
      </w:r>
      <w:r w:rsidRPr="00BA0B92">
        <w:t>. 2022;10(10):1664. doi:</w:t>
      </w:r>
      <w:r w:rsidR="00A9655B">
        <w:t> </w:t>
      </w:r>
      <w:r w:rsidRPr="00BA0B92">
        <w:t>https://doi.org/10.3390/vaccines10101664.</w:t>
      </w:r>
    </w:p>
    <w:p w14:paraId="1D1F3A8C" w14:textId="77777777" w:rsidR="00BA0B92" w:rsidRPr="00BA0B92" w:rsidRDefault="00BA0B92" w:rsidP="00BA0B92">
      <w:pPr>
        <w:pStyle w:val="CDINumberedList1L1"/>
        <w:divId w:val="935526654"/>
      </w:pPr>
      <w:r w:rsidRPr="00BA0B92">
        <w:t xml:space="preserve">Kelly H, Carcione D, Dowse G, </w:t>
      </w:r>
      <w:proofErr w:type="spellStart"/>
      <w:r w:rsidRPr="00BA0B92">
        <w:t>Effler</w:t>
      </w:r>
      <w:proofErr w:type="spellEnd"/>
      <w:r w:rsidRPr="00BA0B92">
        <w:t xml:space="preserve"> P. Quantifying benefits and risks of vaccinating Australian children aged six months to four years with trivalent inactivated seasonal influenza vaccine in 2010. </w:t>
      </w:r>
      <w:r w:rsidRPr="00BA0B92">
        <w:rPr>
          <w:i/>
          <w:iCs/>
        </w:rPr>
        <w:t xml:space="preserve">Euro </w:t>
      </w:r>
      <w:proofErr w:type="spellStart"/>
      <w:r w:rsidRPr="00BA0B92">
        <w:rPr>
          <w:i/>
          <w:iCs/>
        </w:rPr>
        <w:t>Surveill</w:t>
      </w:r>
      <w:proofErr w:type="spellEnd"/>
      <w:r w:rsidRPr="00BA0B92">
        <w:t>. 2010;15(37):19661. doi: https://doi.org/10.2807/ese.15.37.19661-en.</w:t>
      </w:r>
    </w:p>
    <w:p w14:paraId="5215BD6A" w14:textId="3BB3D78A" w:rsidR="00BA0B92" w:rsidRPr="00BA0B92" w:rsidRDefault="00BA0B92" w:rsidP="00BA0B92">
      <w:pPr>
        <w:pStyle w:val="CDINumberedList1L1"/>
        <w:divId w:val="935526654"/>
      </w:pPr>
      <w:r w:rsidRPr="00BA0B92">
        <w:lastRenderedPageBreak/>
        <w:t xml:space="preserve">McNeil MM, Weintraub ES, Duffy J, Sukumaran L, Jacobsen SJ, Klein NP et al. Risk of anaphylaxis after vaccination in children and adults. </w:t>
      </w:r>
      <w:r w:rsidRPr="00BA0B92">
        <w:rPr>
          <w:i/>
          <w:iCs/>
        </w:rPr>
        <w:t>J Allergy Clin Immunol</w:t>
      </w:r>
      <w:r w:rsidRPr="00BA0B92">
        <w:t>. 2016;137(3):868–78. doi:</w:t>
      </w:r>
      <w:r w:rsidR="00A9655B">
        <w:t> </w:t>
      </w:r>
      <w:r w:rsidRPr="00BA0B92">
        <w:t>https://doi.org/10.1016/j.jaci.2015.07.048.</w:t>
      </w:r>
    </w:p>
    <w:p w14:paraId="271059F6" w14:textId="22E740CF" w:rsidR="00BA0B92" w:rsidRPr="00BA0B92" w:rsidRDefault="00BA0B92" w:rsidP="00BA0B92">
      <w:pPr>
        <w:pStyle w:val="CDINumberedList1L1"/>
        <w:divId w:val="935526654"/>
      </w:pPr>
      <w:proofErr w:type="spellStart"/>
      <w:r w:rsidRPr="00BA0B92">
        <w:t>Greenhawt</w:t>
      </w:r>
      <w:proofErr w:type="spellEnd"/>
      <w:r w:rsidRPr="00BA0B92">
        <w:t xml:space="preserve"> M, Turner PJ, Kelso JM. Administration of influenza vaccines to egg allergic recipients: a</w:t>
      </w:r>
      <w:r w:rsidR="00A9655B">
        <w:t> </w:t>
      </w:r>
      <w:r w:rsidRPr="00BA0B92">
        <w:t xml:space="preserve">practice parameter update 2017. </w:t>
      </w:r>
      <w:r w:rsidRPr="00BA0B92">
        <w:rPr>
          <w:i/>
          <w:iCs/>
        </w:rPr>
        <w:t>Ann Allergy Asthma Immunol</w:t>
      </w:r>
      <w:r w:rsidRPr="00BA0B92">
        <w:t>. 2018;120(1):49–52. doi:</w:t>
      </w:r>
      <w:r w:rsidR="00A9655B">
        <w:t> </w:t>
      </w:r>
      <w:r w:rsidRPr="00BA0B92">
        <w:t>https://doi.org/10.1016/j.anai.2017.10.020.</w:t>
      </w:r>
    </w:p>
    <w:p w14:paraId="3957ECAA" w14:textId="77777777" w:rsidR="00BA0B92" w:rsidRPr="00BA0B92" w:rsidRDefault="00BA0B92" w:rsidP="00BA0B92">
      <w:pPr>
        <w:pStyle w:val="CDINumberedList1L1"/>
        <w:divId w:val="935526654"/>
      </w:pPr>
      <w:r w:rsidRPr="00BA0B92">
        <w:t xml:space="preserve">Nelson KE. Invited commentary: Influenza vaccine and Guillain-Barre syndrome—is there a risk? </w:t>
      </w:r>
      <w:r w:rsidRPr="00A9655B">
        <w:rPr>
          <w:i/>
          <w:iCs/>
        </w:rPr>
        <w:t xml:space="preserve">Am J </w:t>
      </w:r>
      <w:proofErr w:type="spellStart"/>
      <w:r w:rsidRPr="00A9655B">
        <w:rPr>
          <w:i/>
          <w:iCs/>
        </w:rPr>
        <w:t>Epidemiol</w:t>
      </w:r>
      <w:proofErr w:type="spellEnd"/>
      <w:r w:rsidRPr="00BA0B92">
        <w:t>. 2012;175(11):1129–32. doi: https://doi.org/10.1093/aje/kws194.</w:t>
      </w:r>
    </w:p>
    <w:p w14:paraId="7D1EF55E" w14:textId="77777777" w:rsidR="00BA0B92" w:rsidRPr="00BA0B92" w:rsidRDefault="00BA0B92" w:rsidP="00BA0B92">
      <w:pPr>
        <w:pStyle w:val="CDINumberedList1L1"/>
        <w:divId w:val="935526654"/>
      </w:pPr>
      <w:r w:rsidRPr="00BA0B92">
        <w:t xml:space="preserve">Kwong JC, Vasa PP, Campitelli MA, Hawken S, Wilson K, Rosella LC et al. Risk of Guillain-Barré syndrome after seasonal influenza vaccination and influenza health-care encounters: a self-controlled study. </w:t>
      </w:r>
      <w:r w:rsidRPr="00BA0B92">
        <w:rPr>
          <w:i/>
          <w:iCs/>
        </w:rPr>
        <w:t>Lancet Infect Dis</w:t>
      </w:r>
      <w:r w:rsidRPr="00BA0B92">
        <w:t>. 2013;13(9):769–76. doi: https://doi.org/10.1016/S1473-3099(13)70104-X.</w:t>
      </w:r>
    </w:p>
    <w:p w14:paraId="27B81F85" w14:textId="77777777" w:rsidR="00BA0B92" w:rsidRPr="00BA0B92" w:rsidRDefault="00BA0B92" w:rsidP="00BA0B92">
      <w:pPr>
        <w:pStyle w:val="CDINumberedList1L1"/>
        <w:divId w:val="935526654"/>
      </w:pPr>
      <w:r w:rsidRPr="00BA0B92">
        <w:t>World Health Organization (WHO). WHO Consultation on the Composition of Influenza Virus Vaccines for Use in the 2023 Southern Hemisphere Influenza Season. [Webpage.] Geneva: WHO; 19 September 2022. Available from: https://www.who.int/news-room/events/detail/2022/09/19/default-calendar/who-e-consultation-on-the-composition-of-influenza-virus-vaccines-for-use-in-the-2023-southern-hemisphere-influenza-season.</w:t>
      </w:r>
    </w:p>
    <w:p w14:paraId="5D9DFB45"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ATAGI advice on seasonal influenza vaccines in 2023</w:t>
      </w:r>
      <w:r w:rsidRPr="00BA0B92">
        <w:t>. Canberra: Australian Government Department of Health and Aged Care; 28 February 2023. Available from: https://www.health.gov.au/resources/publications/atagi-advice-on-seasonal-influenza-vaccines-in-2023.</w:t>
      </w:r>
    </w:p>
    <w:p w14:paraId="10BD6AA0" w14:textId="77777777" w:rsidR="00BA0B92" w:rsidRPr="00BA0B92" w:rsidRDefault="00BA0B92" w:rsidP="00BA0B92">
      <w:pPr>
        <w:pStyle w:val="CDINumberedList1L1"/>
        <w:divId w:val="935526654"/>
      </w:pPr>
      <w:r w:rsidRPr="00BA0B92">
        <w:t xml:space="preserve">Ernst &amp; Young Global Limited. </w:t>
      </w:r>
      <w:r w:rsidRPr="00BA0B92">
        <w:rPr>
          <w:i/>
          <w:iCs/>
        </w:rPr>
        <w:t>Evaluation of the 2020 Influenza Season and assessment of system readiness for a COVID-19 vaccine</w:t>
      </w:r>
      <w:r w:rsidRPr="00BA0B92">
        <w:t>. Canberra: Australian Government Department of Health and Aged Care; 26 March 2021. Available from: https://www.health.gov.au/sites/default/files/documents/2021/11/foi-request-2519-covid-19-report-of-2020-influenza-evaluation-and-covid-vaccine-system-readiness-review-evaluation-of-the-2020-influenza-season-and-assessment-of-system-readiness-for-a-covid-19-vaccine.pdf.</w:t>
      </w:r>
    </w:p>
    <w:p w14:paraId="4DB02675" w14:textId="77777777" w:rsidR="00BA0B92" w:rsidRPr="00BA0B92" w:rsidRDefault="00BA0B92" w:rsidP="00BA0B92">
      <w:pPr>
        <w:pStyle w:val="CDINumberedList1L1"/>
        <w:divId w:val="935526654"/>
      </w:pPr>
      <w:r w:rsidRPr="00BA0B92">
        <w:t xml:space="preserve">Hull B, Hendry A, Dey A, Brotherton J, Macartney K, Beard F. Annual Immunisation Coverage Report 2020. </w:t>
      </w:r>
      <w:r w:rsidRPr="00BA0B92">
        <w:rPr>
          <w:i/>
          <w:iCs/>
        </w:rPr>
        <w:t>Commun Dis Intell (2018)</w:t>
      </w:r>
      <w:r w:rsidRPr="00BA0B92">
        <w:t>. 2022;46. doi: https://doi.org/10.33321/cdi.2022.46.60.</w:t>
      </w:r>
    </w:p>
    <w:p w14:paraId="79C04864" w14:textId="77777777" w:rsidR="00BA0B92" w:rsidRPr="00BA0B92" w:rsidRDefault="00BA0B92" w:rsidP="00BA0B92">
      <w:pPr>
        <w:pStyle w:val="CDINumberedList1L1"/>
        <w:divId w:val="935526654"/>
      </w:pPr>
      <w:r w:rsidRPr="00BA0B92">
        <w:t>National Centre for Immunisation Research and Surveillance (NCIRS). Influenza vaccine coverage data. [Webpage.] Sydney: NCIRS; 2023. Available from: https://ncirs.org.au/influenza-vaccination-coverage-data.</w:t>
      </w:r>
    </w:p>
    <w:p w14:paraId="60A62820" w14:textId="77777777" w:rsidR="00BA0B92" w:rsidRPr="00BA0B92" w:rsidRDefault="00BA0B92" w:rsidP="00BA0B92">
      <w:pPr>
        <w:pStyle w:val="CDINumberedList1L1"/>
        <w:divId w:val="935526654"/>
      </w:pPr>
      <w:r w:rsidRPr="00BA0B92">
        <w:t xml:space="preserve">Hull B, Hendry A, Dey A, Macartney K, Beard F. Immunisation Coverage Annual Report 2019. </w:t>
      </w:r>
      <w:r w:rsidRPr="00BA0B92">
        <w:rPr>
          <w:i/>
          <w:iCs/>
        </w:rPr>
        <w:t>Commun Dis Intell (2018)</w:t>
      </w:r>
      <w:r w:rsidRPr="00BA0B92">
        <w:t>. 2021;45. doi: https://doi.org/10.33321/cdi.2020.45.18.</w:t>
      </w:r>
    </w:p>
    <w:p w14:paraId="615E40F2" w14:textId="77777777" w:rsidR="00BA0B92" w:rsidRPr="00BA0B92" w:rsidRDefault="00BA0B92" w:rsidP="00BA0B92">
      <w:pPr>
        <w:pStyle w:val="CDINumberedList1L1"/>
        <w:divId w:val="935526654"/>
      </w:pPr>
      <w:r w:rsidRPr="00BA0B92">
        <w:t xml:space="preserve">Hull B, Hendry A, Dey A, Brotherton J, Macartney K, Beard F. Immunisation Coverage Annual Report 2021. </w:t>
      </w:r>
      <w:r w:rsidRPr="00BA0B92">
        <w:rPr>
          <w:i/>
          <w:iCs/>
        </w:rPr>
        <w:t>Commun Dis Intell (2018)</w:t>
      </w:r>
      <w:r w:rsidRPr="00BA0B92">
        <w:t>. 2023;47. doi: https://doi.org/10.33321/cdi.2020.47.47.</w:t>
      </w:r>
    </w:p>
    <w:p w14:paraId="77EE5E46" w14:textId="77777777" w:rsidR="00BA0B92" w:rsidRPr="00BA0B92" w:rsidRDefault="00BA0B92" w:rsidP="00BA0B92">
      <w:pPr>
        <w:pStyle w:val="CDINumberedList1L1"/>
        <w:divId w:val="935526654"/>
      </w:pPr>
      <w:r w:rsidRPr="00BA0B92">
        <w:t xml:space="preserve">Beard F, Hendry A, Macartney K. Influenza vaccination uptake in Australia in 2020: impact of the COVID-19 pandemic? </w:t>
      </w:r>
      <w:r w:rsidRPr="00BA0B92">
        <w:rPr>
          <w:i/>
          <w:iCs/>
        </w:rPr>
        <w:t>Commun Dis Intell (2018)</w:t>
      </w:r>
      <w:r w:rsidRPr="00BA0B92">
        <w:t>. 2021;45. doi: https://doi.org/10.33321/cdi.2021.45.10.</w:t>
      </w:r>
    </w:p>
    <w:p w14:paraId="0EA3A5E2" w14:textId="77777777" w:rsidR="00BA0B92" w:rsidRPr="00BA0B92" w:rsidRDefault="00BA0B92" w:rsidP="00BA0B92">
      <w:pPr>
        <w:pStyle w:val="CDINumberedList1L1"/>
        <w:divId w:val="935526654"/>
      </w:pPr>
      <w:r w:rsidRPr="00BA0B92">
        <w:lastRenderedPageBreak/>
        <w:t xml:space="preserve">Hull B, Hendry A, Dey A, Brotherton J, Macartney K, Beard F. Annual Immunisation Coverage Report 2017. </w:t>
      </w:r>
      <w:r w:rsidRPr="00BA0B92">
        <w:rPr>
          <w:i/>
          <w:iCs/>
        </w:rPr>
        <w:t>Commun Dis Intell (2018)</w:t>
      </w:r>
      <w:r w:rsidRPr="00BA0B92">
        <w:t>. 2019;43. doi: https://doi.org/10.33321/cdi.2019.43.47.</w:t>
      </w:r>
    </w:p>
    <w:p w14:paraId="371F8BB8" w14:textId="77777777" w:rsidR="00BA0B92" w:rsidRPr="00BA0B92" w:rsidRDefault="00BA0B92" w:rsidP="00BA0B92">
      <w:pPr>
        <w:pStyle w:val="CDINumberedList1L1"/>
        <w:divId w:val="935526654"/>
      </w:pPr>
      <w:r w:rsidRPr="00BA0B92">
        <w:t xml:space="preserve">Carlson SJ, Blyth CC, Beard FH, Hendry AJ, Cheng AC, Quinn HE et al. Influenza disease and vaccination in children in Australia. </w:t>
      </w:r>
      <w:r w:rsidRPr="00BA0B92">
        <w:rPr>
          <w:i/>
          <w:iCs/>
        </w:rPr>
        <w:t>Med J Aust</w:t>
      </w:r>
      <w:r w:rsidRPr="00BA0B92">
        <w:t>. 2021;215(2):64–</w:t>
      </w:r>
      <w:proofErr w:type="gramStart"/>
      <w:r w:rsidRPr="00BA0B92">
        <w:t>7.e</w:t>
      </w:r>
      <w:proofErr w:type="gramEnd"/>
      <w:r w:rsidRPr="00BA0B92">
        <w:t>1. doi: https://doi.org/10.5694/mja2.51100.</w:t>
      </w:r>
    </w:p>
    <w:p w14:paraId="503FE9A9" w14:textId="5929D685" w:rsidR="00BA0B92" w:rsidRPr="00BA0B92" w:rsidRDefault="00BA0B92" w:rsidP="00BA0B92">
      <w:pPr>
        <w:pStyle w:val="CDINumberedList1L1"/>
        <w:divId w:val="935526654"/>
      </w:pPr>
      <w:r w:rsidRPr="00BA0B92">
        <w:t xml:space="preserve">Zaman K, Roy E, </w:t>
      </w:r>
      <w:proofErr w:type="spellStart"/>
      <w:r w:rsidRPr="00BA0B92">
        <w:t>Arifeen</w:t>
      </w:r>
      <w:proofErr w:type="spellEnd"/>
      <w:r w:rsidRPr="00BA0B92">
        <w:t xml:space="preserve"> SE, Rahman M, </w:t>
      </w:r>
      <w:proofErr w:type="spellStart"/>
      <w:r w:rsidRPr="00BA0B92">
        <w:t>Raqib</w:t>
      </w:r>
      <w:proofErr w:type="spellEnd"/>
      <w:r w:rsidRPr="00BA0B92">
        <w:t xml:space="preserve"> R, Wilson E et al. Effectiveness of maternal influenza immunization in mothers and infants. </w:t>
      </w:r>
      <w:r w:rsidRPr="00BA0B92">
        <w:rPr>
          <w:i/>
          <w:iCs/>
        </w:rPr>
        <w:t>N Engl J Med</w:t>
      </w:r>
      <w:r w:rsidRPr="00BA0B92">
        <w:t>. 2008;359(15):1555–64. doi:</w:t>
      </w:r>
      <w:r w:rsidR="00A9655B">
        <w:t> </w:t>
      </w:r>
      <w:r w:rsidRPr="00BA0B92">
        <w:t>https://doi.org/10.1056/NEJMoa0708630.</w:t>
      </w:r>
    </w:p>
    <w:p w14:paraId="3EF3CDBD" w14:textId="62713EFA" w:rsidR="00BA0B92" w:rsidRPr="00BA0B92" w:rsidRDefault="00BA0B92" w:rsidP="00BA0B92">
      <w:pPr>
        <w:pStyle w:val="CDINumberedList1L1"/>
        <w:divId w:val="935526654"/>
      </w:pPr>
      <w:r w:rsidRPr="00BA0B92">
        <w:t xml:space="preserve">Marchant A, </w:t>
      </w:r>
      <w:proofErr w:type="spellStart"/>
      <w:r w:rsidRPr="00BA0B92">
        <w:t>Sadarangani</w:t>
      </w:r>
      <w:proofErr w:type="spellEnd"/>
      <w:r w:rsidRPr="00BA0B92">
        <w:t xml:space="preserve"> M, Garand M, Dauby N, </w:t>
      </w:r>
      <w:proofErr w:type="spellStart"/>
      <w:r w:rsidRPr="00BA0B92">
        <w:t>Verhasselt</w:t>
      </w:r>
      <w:proofErr w:type="spellEnd"/>
      <w:r w:rsidRPr="00BA0B92">
        <w:t xml:space="preserve"> V, Pereira L et al. Maternal immunisation: collaborating with mother nature. </w:t>
      </w:r>
      <w:r w:rsidRPr="00BA0B92">
        <w:rPr>
          <w:i/>
          <w:iCs/>
        </w:rPr>
        <w:t>Lancet Infect Dis</w:t>
      </w:r>
      <w:r w:rsidRPr="00BA0B92">
        <w:t>. 2017;17(7</w:t>
      </w:r>
      <w:proofErr w:type="gramStart"/>
      <w:r w:rsidRPr="00BA0B92">
        <w:t>):e</w:t>
      </w:r>
      <w:proofErr w:type="gramEnd"/>
      <w:r w:rsidRPr="00BA0B92">
        <w:t>197–208. doi:</w:t>
      </w:r>
      <w:r w:rsidR="00A9655B">
        <w:t> </w:t>
      </w:r>
      <w:r w:rsidRPr="00BA0B92">
        <w:t>https://doi.org/10.1016/S1473-3099(17)30229-3.</w:t>
      </w:r>
    </w:p>
    <w:p w14:paraId="2A28A13B" w14:textId="77777777" w:rsidR="00BA0B92" w:rsidRPr="00BA0B92" w:rsidRDefault="00BA0B92" w:rsidP="00BA0B92">
      <w:pPr>
        <w:pStyle w:val="CDINumberedList1L1"/>
        <w:divId w:val="935526654"/>
      </w:pPr>
      <w:r w:rsidRPr="00BA0B92">
        <w:t xml:space="preserve">Nelson EA, Ip M, Tam JS, Mounts AW, Chau SL, Law SK et al. Burden of influenza infection in hospitalised children below 6 months of age and above in Hong Kong from 2005 to 2011. </w:t>
      </w:r>
      <w:r w:rsidRPr="00BA0B92">
        <w:rPr>
          <w:i/>
          <w:iCs/>
        </w:rPr>
        <w:t>Vaccine</w:t>
      </w:r>
      <w:r w:rsidRPr="00BA0B92">
        <w:t>. 2014;32(49):6692–8. doi: https://doi.org/10.1016/j.vaccine.2014.04.063.</w:t>
      </w:r>
    </w:p>
    <w:p w14:paraId="73BE188A" w14:textId="1FA0392B" w:rsidR="00BA0B92" w:rsidRPr="00BA0B92" w:rsidRDefault="00BA0B92" w:rsidP="00BA0B92">
      <w:pPr>
        <w:pStyle w:val="CDINumberedList1L1"/>
        <w:divId w:val="935526654"/>
      </w:pPr>
      <w:r w:rsidRPr="00BA0B92">
        <w:t xml:space="preserve">Chaves SS, Perez A, Farley MM, Miller L, Schaffner W, Lindegren ML et al. The burden of influenza hospitalizations in infants from 2003 to 2012, United States. </w:t>
      </w:r>
      <w:proofErr w:type="spellStart"/>
      <w:r w:rsidRPr="00BA0B92">
        <w:rPr>
          <w:i/>
          <w:iCs/>
        </w:rPr>
        <w:t>Pediatr</w:t>
      </w:r>
      <w:proofErr w:type="spellEnd"/>
      <w:r w:rsidRPr="00BA0B92">
        <w:rPr>
          <w:i/>
          <w:iCs/>
        </w:rPr>
        <w:t xml:space="preserve"> Infect Dis J</w:t>
      </w:r>
      <w:r w:rsidRPr="00BA0B92">
        <w:t>. 2014;33(9):912–9. doi:</w:t>
      </w:r>
      <w:r w:rsidR="00A9655B">
        <w:t> </w:t>
      </w:r>
      <w:r w:rsidRPr="00BA0B92">
        <w:t>https://doi.org/10.1097/INF.0000000000000321.</w:t>
      </w:r>
    </w:p>
    <w:p w14:paraId="5EC06A9B" w14:textId="6F72F698" w:rsidR="00BA0B92" w:rsidRPr="00BA0B92" w:rsidRDefault="00BA0B92" w:rsidP="00BA0B92">
      <w:pPr>
        <w:pStyle w:val="CDINumberedList1L1"/>
        <w:divId w:val="935526654"/>
      </w:pPr>
      <w:r w:rsidRPr="00BA0B92">
        <w:t xml:space="preserve">McRae JE, McHugh L, King C, Beard FH, Blyth CC, </w:t>
      </w:r>
      <w:proofErr w:type="spellStart"/>
      <w:r w:rsidRPr="00BA0B92">
        <w:t>Danchin</w:t>
      </w:r>
      <w:proofErr w:type="spellEnd"/>
      <w:r w:rsidRPr="00BA0B92">
        <w:t xml:space="preserve"> MH et al. Influenza and pertussis vaccine coverage in pregnancy in Australia, 2016–2021. </w:t>
      </w:r>
      <w:r w:rsidRPr="00BA0B92">
        <w:rPr>
          <w:i/>
          <w:iCs/>
        </w:rPr>
        <w:t>Med J Aust</w:t>
      </w:r>
      <w:r w:rsidRPr="00BA0B92">
        <w:t>. 2023;218(11):528–41. doi:</w:t>
      </w:r>
      <w:r w:rsidR="00A9655B">
        <w:t> </w:t>
      </w:r>
      <w:r w:rsidRPr="00BA0B92">
        <w:t>https://doi.org/10.5694/mja2.51989.</w:t>
      </w:r>
    </w:p>
    <w:p w14:paraId="16C69B8C" w14:textId="77777777" w:rsidR="00BA0B92" w:rsidRPr="00BA0B92" w:rsidRDefault="00BA0B92" w:rsidP="00BA0B92">
      <w:pPr>
        <w:pStyle w:val="CDINumberedList1L1"/>
        <w:divId w:val="935526654"/>
      </w:pPr>
      <w:r w:rsidRPr="00BA0B92">
        <w:t xml:space="preserve">Cheng AC, Holmes M, Dwyer DE, Senanayake S, Cooley L, Irving LB et al. Influenza epidemiology in patients admitted to sentinel Australian hospitals in 2017: the Influenza Complications Alert Network (FluCAN). </w:t>
      </w:r>
      <w:r w:rsidRPr="00BA0B92">
        <w:rPr>
          <w:i/>
          <w:iCs/>
        </w:rPr>
        <w:t>Commun Dis Intell (2018)</w:t>
      </w:r>
      <w:r w:rsidRPr="00BA0B92">
        <w:t>. 2019;43. doi: https://doi.org/10.33321/cdi.2019.43.39.</w:t>
      </w:r>
    </w:p>
    <w:p w14:paraId="5C49F82A" w14:textId="77777777" w:rsidR="00BA0B92" w:rsidRPr="00BA0B92" w:rsidRDefault="00BA0B92" w:rsidP="00BA0B92">
      <w:pPr>
        <w:pStyle w:val="CDINumberedList1L1"/>
        <w:divId w:val="935526654"/>
      </w:pPr>
      <w:r w:rsidRPr="00BA0B92">
        <w:t xml:space="preserve">Hull B, Hendry A, Dey A, Macartney K, McIntyre P, Beard F. </w:t>
      </w:r>
      <w:r w:rsidRPr="00BA0B92">
        <w:rPr>
          <w:i/>
          <w:iCs/>
        </w:rPr>
        <w:t>Exploratory analysis of the first 2 years of adult vaccination data recorded on AIR</w:t>
      </w:r>
      <w:r w:rsidRPr="00BA0B92">
        <w:t>. Sydney: NCIRS; November 2019. Available from: https://ncirs.org.au/sites/default/files/2019-12/Analysis%20of%20adult%20vaccination%20data%20on%20AIR_Nov%202019.pdf.</w:t>
      </w:r>
    </w:p>
    <w:p w14:paraId="1CC246D7" w14:textId="77777777" w:rsidR="00BA0B92" w:rsidRPr="00BA0B92" w:rsidRDefault="00BA0B92" w:rsidP="00BA0B92">
      <w:pPr>
        <w:pStyle w:val="CDINumberedList1L1"/>
        <w:divId w:val="935526654"/>
      </w:pPr>
      <w:r w:rsidRPr="00BA0B92">
        <w:t>Australian Government Department of Health and Aged Care. Mandatory reporting of National Immunisation Program vaccines to the Australian Immunisation Register began on 1 July 2021. [Internet</w:t>
      </w:r>
      <w:proofErr w:type="gramStart"/>
      <w:r w:rsidRPr="00BA0B92">
        <w:t>.]Canberra</w:t>
      </w:r>
      <w:proofErr w:type="gramEnd"/>
      <w:r w:rsidRPr="00BA0B92">
        <w:t>; Australian Government Department of Health and Aged Care; 8 July 2021. Available from: https://www.health.gov.au/news/mandatory-reporting-of-national-immunisation-program-vaccines-to-the-australian-immunisation-register-began-on-1-july-2021.</w:t>
      </w:r>
    </w:p>
    <w:p w14:paraId="642468F1" w14:textId="30E6793A" w:rsidR="00BA0B92" w:rsidRPr="00BA0B92" w:rsidRDefault="00BA0B92" w:rsidP="00BA0B92">
      <w:pPr>
        <w:pStyle w:val="CDINumberedList1L1"/>
        <w:divId w:val="935526654"/>
      </w:pPr>
      <w:r w:rsidRPr="00BA0B92">
        <w:t>El-</w:t>
      </w:r>
      <w:proofErr w:type="spellStart"/>
      <w:r w:rsidRPr="00BA0B92">
        <w:t>Heneidy</w:t>
      </w:r>
      <w:proofErr w:type="spellEnd"/>
      <w:r w:rsidRPr="00BA0B92">
        <w:t xml:space="preserve"> A, Ware RS, Robson JM, Cherian SG, Lambert SB, </w:t>
      </w:r>
      <w:proofErr w:type="spellStart"/>
      <w:r w:rsidRPr="00BA0B92">
        <w:t>Grimwood</w:t>
      </w:r>
      <w:proofErr w:type="spellEnd"/>
      <w:r w:rsidRPr="00BA0B92">
        <w:t xml:space="preserve"> K. Respiratory virus detection during the COVID-19 pandemic in Queensland, Australia. </w:t>
      </w:r>
      <w:proofErr w:type="spellStart"/>
      <w:r w:rsidRPr="00BA0B92">
        <w:rPr>
          <w:i/>
          <w:iCs/>
        </w:rPr>
        <w:t>Aust</w:t>
      </w:r>
      <w:proofErr w:type="spellEnd"/>
      <w:r w:rsidRPr="00BA0B92">
        <w:rPr>
          <w:i/>
          <w:iCs/>
        </w:rPr>
        <w:t xml:space="preserve"> N Z J Public Health</w:t>
      </w:r>
      <w:r w:rsidRPr="00BA0B92">
        <w:t>. 2022;46(1):10–5. doi:</w:t>
      </w:r>
      <w:r w:rsidR="00A9655B">
        <w:t> </w:t>
      </w:r>
      <w:r w:rsidRPr="00BA0B92">
        <w:t>https://doi.org/10.1111/1753-6405.13168.</w:t>
      </w:r>
    </w:p>
    <w:p w14:paraId="63DAC049" w14:textId="77777777" w:rsidR="00BA0B92" w:rsidRPr="00BA0B92" w:rsidRDefault="00BA0B92" w:rsidP="00BA0B92">
      <w:pPr>
        <w:pStyle w:val="CDINumberedList1L1"/>
        <w:divId w:val="935526654"/>
      </w:pPr>
      <w:r w:rsidRPr="00BA0B92">
        <w:t xml:space="preserve">Ching NS, </w:t>
      </w:r>
      <w:proofErr w:type="spellStart"/>
      <w:r w:rsidRPr="00BA0B92">
        <w:t>Kotsanas</w:t>
      </w:r>
      <w:proofErr w:type="spellEnd"/>
      <w:r w:rsidRPr="00BA0B92">
        <w:t xml:space="preserve"> D, Easton ML, Francis MJ, </w:t>
      </w:r>
      <w:proofErr w:type="spellStart"/>
      <w:r w:rsidRPr="00BA0B92">
        <w:t>Korman</w:t>
      </w:r>
      <w:proofErr w:type="spellEnd"/>
      <w:r w:rsidRPr="00BA0B92">
        <w:t xml:space="preserve"> TM, Buttery JP. Respiratory virus detection and co-infection in children and adults in a large Australian hospital in 2009-2015. </w:t>
      </w:r>
      <w:r w:rsidRPr="00BA0B92">
        <w:rPr>
          <w:i/>
          <w:iCs/>
        </w:rPr>
        <w:t xml:space="preserve">J </w:t>
      </w:r>
      <w:proofErr w:type="spellStart"/>
      <w:r w:rsidRPr="00BA0B92">
        <w:rPr>
          <w:i/>
          <w:iCs/>
        </w:rPr>
        <w:t>Paediatr</w:t>
      </w:r>
      <w:proofErr w:type="spellEnd"/>
      <w:r w:rsidRPr="00BA0B92">
        <w:rPr>
          <w:i/>
          <w:iCs/>
        </w:rPr>
        <w:t xml:space="preserve"> Child Health</w:t>
      </w:r>
      <w:r w:rsidRPr="00BA0B92">
        <w:t>. 2018;54(12):1321–8. doi: https://doi.org/10.1111/jpc.14076.</w:t>
      </w:r>
    </w:p>
    <w:p w14:paraId="5A0FAF72" w14:textId="731A353E" w:rsidR="00BA0B92" w:rsidRPr="00BA0B92" w:rsidRDefault="00BA0B92" w:rsidP="00BA0B92">
      <w:pPr>
        <w:pStyle w:val="CDINumberedList1L1"/>
        <w:divId w:val="935526654"/>
      </w:pPr>
      <w:r w:rsidRPr="00BA0B92">
        <w:lastRenderedPageBreak/>
        <w:t xml:space="preserve">Lambert SB, Faux CE, Grant KA, Williams SH, </w:t>
      </w:r>
      <w:proofErr w:type="spellStart"/>
      <w:r w:rsidRPr="00BA0B92">
        <w:t>Bletchly</w:t>
      </w:r>
      <w:proofErr w:type="spellEnd"/>
      <w:r w:rsidRPr="00BA0B92">
        <w:t xml:space="preserve"> C, Catton MG et al. Influenza surveillance in Australia: we need to do more than count. </w:t>
      </w:r>
      <w:r w:rsidRPr="00BA0B92">
        <w:rPr>
          <w:i/>
          <w:iCs/>
        </w:rPr>
        <w:t>Med J Aust</w:t>
      </w:r>
      <w:r w:rsidRPr="00BA0B92">
        <w:t>. 2010;193(1):43–5. doi:</w:t>
      </w:r>
      <w:r w:rsidR="00A9655B">
        <w:t> </w:t>
      </w:r>
      <w:r w:rsidRPr="00BA0B92">
        <w:t>https://doi.org/10.5694/j.1326-5377.2010.tb03741.x.</w:t>
      </w:r>
    </w:p>
    <w:p w14:paraId="26CA9D14" w14:textId="03B31E9A" w:rsidR="00BA0B92" w:rsidRPr="00BA0B92" w:rsidRDefault="00BA0B92" w:rsidP="00BA0B92">
      <w:pPr>
        <w:pStyle w:val="CDINumberedList1L1"/>
        <w:divId w:val="935526654"/>
      </w:pPr>
      <w:r w:rsidRPr="00BA0B92">
        <w:t xml:space="preserve">Petrie JG, </w:t>
      </w:r>
      <w:proofErr w:type="spellStart"/>
      <w:r w:rsidRPr="00BA0B92">
        <w:t>Ohmit</w:t>
      </w:r>
      <w:proofErr w:type="spellEnd"/>
      <w:r w:rsidRPr="00BA0B92">
        <w:t xml:space="preserve"> SE, Cowling BJ, Johnson E, Cross RT, </w:t>
      </w:r>
      <w:proofErr w:type="spellStart"/>
      <w:r w:rsidRPr="00BA0B92">
        <w:t>Malosh</w:t>
      </w:r>
      <w:proofErr w:type="spellEnd"/>
      <w:r w:rsidRPr="00BA0B92">
        <w:t xml:space="preserve"> RE et al. Influenza transmission in a cohort of households with children: 2010–2011. </w:t>
      </w:r>
      <w:proofErr w:type="spellStart"/>
      <w:r w:rsidRPr="00BA0B92">
        <w:rPr>
          <w:i/>
          <w:iCs/>
        </w:rPr>
        <w:t>PLoS</w:t>
      </w:r>
      <w:proofErr w:type="spellEnd"/>
      <w:r w:rsidRPr="00BA0B92">
        <w:rPr>
          <w:i/>
          <w:iCs/>
        </w:rPr>
        <w:t xml:space="preserve"> One</w:t>
      </w:r>
      <w:r w:rsidRPr="00BA0B92">
        <w:t>. 2013;8(9</w:t>
      </w:r>
      <w:proofErr w:type="gramStart"/>
      <w:r w:rsidRPr="00BA0B92">
        <w:t>):e</w:t>
      </w:r>
      <w:proofErr w:type="gramEnd"/>
      <w:r w:rsidRPr="00BA0B92">
        <w:t>75339. doi:</w:t>
      </w:r>
      <w:r w:rsidR="00A9655B">
        <w:t> </w:t>
      </w:r>
      <w:r w:rsidRPr="00BA0B92">
        <w:t>https://doi.org/10.1371/journal.pone.0075339.</w:t>
      </w:r>
    </w:p>
    <w:p w14:paraId="45F8DAFD" w14:textId="77777777" w:rsidR="00BA0B92" w:rsidRPr="00BA0B92" w:rsidRDefault="00BA0B92" w:rsidP="00BA0B92">
      <w:pPr>
        <w:pStyle w:val="CDINumberedList1L1"/>
        <w:divId w:val="935526654"/>
      </w:pPr>
      <w:r w:rsidRPr="00BA0B92">
        <w:t xml:space="preserve">Korsten K, </w:t>
      </w:r>
      <w:proofErr w:type="spellStart"/>
      <w:r w:rsidRPr="00BA0B92">
        <w:t>Adriaenssens</w:t>
      </w:r>
      <w:proofErr w:type="spellEnd"/>
      <w:r w:rsidRPr="00BA0B92">
        <w:t xml:space="preserve"> N, </w:t>
      </w:r>
      <w:proofErr w:type="spellStart"/>
      <w:r w:rsidRPr="00BA0B92">
        <w:t>Coenen</w:t>
      </w:r>
      <w:proofErr w:type="spellEnd"/>
      <w:r w:rsidRPr="00BA0B92">
        <w:t xml:space="preserve"> S, Butler CC, </w:t>
      </w:r>
      <w:proofErr w:type="spellStart"/>
      <w:r w:rsidRPr="00BA0B92">
        <w:t>Pircon</w:t>
      </w:r>
      <w:proofErr w:type="spellEnd"/>
      <w:r w:rsidRPr="00BA0B92">
        <w:t xml:space="preserve"> JY, Verheij TJM et al. Contact with young children increases the risk of respiratory infection in older adults in Europe—the RESCEU study. </w:t>
      </w:r>
      <w:r w:rsidRPr="00BA0B92">
        <w:rPr>
          <w:i/>
          <w:iCs/>
        </w:rPr>
        <w:t>J Infect Dis</w:t>
      </w:r>
      <w:r w:rsidRPr="00BA0B92">
        <w:t>. 2022;226(</w:t>
      </w:r>
      <w:proofErr w:type="spellStart"/>
      <w:r w:rsidRPr="00BA0B92">
        <w:t>Suppl</w:t>
      </w:r>
      <w:proofErr w:type="spellEnd"/>
      <w:r w:rsidRPr="00BA0B92">
        <w:t xml:space="preserve"> 1</w:t>
      </w:r>
      <w:proofErr w:type="gramStart"/>
      <w:r w:rsidRPr="00BA0B92">
        <w:t>):S</w:t>
      </w:r>
      <w:proofErr w:type="gramEnd"/>
      <w:r w:rsidRPr="00BA0B92">
        <w:t>79–86. doi: https://doi.org/10.1093/infdis/jiab519.</w:t>
      </w:r>
    </w:p>
    <w:p w14:paraId="76F5E3C3" w14:textId="77777777" w:rsidR="00BA0B92" w:rsidRPr="00BA0B92" w:rsidRDefault="00BA0B92" w:rsidP="00BA0B92">
      <w:pPr>
        <w:pStyle w:val="CDINumberedList1L1"/>
        <w:divId w:val="935526654"/>
      </w:pPr>
      <w:r w:rsidRPr="00BA0B92">
        <w:t xml:space="preserve">Nair H, Brooks WA, Katz M, Roca A, Berkley JA, </w:t>
      </w:r>
      <w:proofErr w:type="spellStart"/>
      <w:r w:rsidRPr="00BA0B92">
        <w:t>Madhi</w:t>
      </w:r>
      <w:proofErr w:type="spellEnd"/>
      <w:r w:rsidRPr="00BA0B92">
        <w:t xml:space="preserve"> SA et al. Global burden of respiratory infections due to seasonal influenza in young children: a systematic review and meta-analysis. </w:t>
      </w:r>
      <w:r w:rsidRPr="00BA0B92">
        <w:rPr>
          <w:i/>
          <w:iCs/>
        </w:rPr>
        <w:t>Lancet</w:t>
      </w:r>
      <w:r w:rsidRPr="00BA0B92">
        <w:t>. 2011;378(9807):1917–30. doi: https://doi.org/10.1016/S0140-6736(11)61051-9.</w:t>
      </w:r>
    </w:p>
    <w:p w14:paraId="522FB776" w14:textId="4CED7FBA" w:rsidR="00BA0B92" w:rsidRPr="00BA0B92" w:rsidRDefault="00BA0B92" w:rsidP="00BA0B92">
      <w:pPr>
        <w:pStyle w:val="CDINumberedList1L1"/>
        <w:divId w:val="935526654"/>
      </w:pPr>
      <w:r w:rsidRPr="00BA0B92">
        <w:t xml:space="preserve">Beard F, Hendry A, Macartney K. Influenza vaccination uptake in our most vulnerable groups: how well are we protecting them in 2019? </w:t>
      </w:r>
      <w:r w:rsidRPr="00BA0B92">
        <w:rPr>
          <w:i/>
          <w:iCs/>
        </w:rPr>
        <w:t>Commun Dis Intell (2018)</w:t>
      </w:r>
      <w:r w:rsidRPr="00BA0B92">
        <w:t>. 2020;44. doi:</w:t>
      </w:r>
      <w:r w:rsidR="00A9655B">
        <w:t> </w:t>
      </w:r>
      <w:r w:rsidRPr="00BA0B92">
        <w:t>https://doi.org/10.33321/cdi.2020.44.27.</w:t>
      </w:r>
    </w:p>
    <w:p w14:paraId="0B9DFB05" w14:textId="77777777" w:rsidR="00BA0B92" w:rsidRPr="00BA0B92" w:rsidRDefault="00BA0B92" w:rsidP="00BA0B92">
      <w:pPr>
        <w:pStyle w:val="CDINumberedList1L1"/>
        <w:divId w:val="935526654"/>
      </w:pPr>
      <w:r w:rsidRPr="00BA0B92">
        <w:t>National Centre for Immunisation Research and Surveillance. Significant events in influenza vaccination practice in Australia. Sydney, Australia 2022. Available from: https://www.ncirs.org.au/health-professionals/history-immunisation-australia.</w:t>
      </w:r>
    </w:p>
    <w:p w14:paraId="46B3976D" w14:textId="77777777" w:rsidR="00BA0B92" w:rsidRPr="00BA0B92" w:rsidRDefault="00BA0B92" w:rsidP="00BA0B92">
      <w:pPr>
        <w:pStyle w:val="CDINumberedList1L1"/>
        <w:divId w:val="935526654"/>
      </w:pPr>
      <w:r w:rsidRPr="00BA0B92">
        <w:t xml:space="preserve">Menzies R, Joseph T, Ward J, </w:t>
      </w:r>
      <w:proofErr w:type="spellStart"/>
      <w:r w:rsidRPr="00BA0B92">
        <w:t>MacIntyre</w:t>
      </w:r>
      <w:proofErr w:type="spellEnd"/>
      <w:r w:rsidRPr="00BA0B92">
        <w:t xml:space="preserve"> R. Influenza vaccination of Aboriginal and Torres Strait Islander adults: National Health and Medical Research Council; 2018. Available from: https://www.nhmrc.gov.au/about-us/resources/influenza-vaccination-aboriginal-and-torres-strait-islander-adults.</w:t>
      </w:r>
    </w:p>
    <w:p w14:paraId="72C51BAB" w14:textId="0193E597" w:rsidR="00BA0B92" w:rsidRPr="00BA0B92" w:rsidRDefault="00BA0B92" w:rsidP="00BA0B92">
      <w:pPr>
        <w:pStyle w:val="CDINumberedList1L1"/>
        <w:divId w:val="935526654"/>
      </w:pPr>
      <w:r w:rsidRPr="00BA0B92">
        <w:t xml:space="preserve">Finlay S, </w:t>
      </w:r>
      <w:proofErr w:type="spellStart"/>
      <w:r w:rsidRPr="00BA0B92">
        <w:t>Wenitong</w:t>
      </w:r>
      <w:proofErr w:type="spellEnd"/>
      <w:r w:rsidRPr="00BA0B92">
        <w:t xml:space="preserve"> M. Aboriginal Community Controlled Health Organisations are taking a leading role in COVID-19 health communication. </w:t>
      </w:r>
      <w:proofErr w:type="spellStart"/>
      <w:r w:rsidRPr="00BA0B92">
        <w:rPr>
          <w:i/>
          <w:iCs/>
        </w:rPr>
        <w:t>Aust</w:t>
      </w:r>
      <w:proofErr w:type="spellEnd"/>
      <w:r w:rsidRPr="00BA0B92">
        <w:rPr>
          <w:i/>
          <w:iCs/>
        </w:rPr>
        <w:t xml:space="preserve"> N Z J Public Health</w:t>
      </w:r>
      <w:r w:rsidRPr="00BA0B92">
        <w:t>. 2020;44(4):251–2. doi:</w:t>
      </w:r>
      <w:r w:rsidR="00A9655B">
        <w:t> </w:t>
      </w:r>
      <w:r w:rsidRPr="00BA0B92">
        <w:t>https://doi.org/10.1111/1753-6405.13010.</w:t>
      </w:r>
    </w:p>
    <w:p w14:paraId="0EC35E9E" w14:textId="77777777" w:rsidR="00BA0B92" w:rsidRPr="00BA0B92" w:rsidRDefault="00BA0B92" w:rsidP="00BA0B92">
      <w:pPr>
        <w:pStyle w:val="CDINumberedList1L1"/>
        <w:divId w:val="935526654"/>
      </w:pPr>
      <w:r w:rsidRPr="00BA0B92">
        <w:t>Australian Bureau of Statistics. 2021 Census: Nearly half of Australians have a parent born overseas. [Webpage.] Canberra: Australian Bureau of Statistics; 28 June 2022. Available from: https://www.abs.gov.au/media-centre/media-releases/2021-census-nearly-half-australians-have-parent-born-overseas#:~:text=The%202021%20Census%20found,birthplace%20overseas.</w:t>
      </w:r>
    </w:p>
    <w:p w14:paraId="781191A9" w14:textId="77777777" w:rsidR="00BA0B92" w:rsidRPr="00BA0B92" w:rsidRDefault="00BA0B92" w:rsidP="00BA0B92">
      <w:pPr>
        <w:pStyle w:val="CDINumberedList1L1"/>
        <w:divId w:val="935526654"/>
      </w:pPr>
      <w:r w:rsidRPr="00BA0B92">
        <w:t xml:space="preserve">AIHW. </w:t>
      </w:r>
      <w:r w:rsidRPr="00BA0B92">
        <w:rPr>
          <w:i/>
          <w:iCs/>
        </w:rPr>
        <w:t>Reporting on the health of culturally and linguistically diverse populations in Australia: An exploratory paper</w:t>
      </w:r>
      <w:r w:rsidRPr="00BA0B92">
        <w:t>. Canberra: AIHW; 4 August 2022. Available from: https://www.aihw.gov.au/reports/cald-australians/reporting-health-cald-populations/summary.</w:t>
      </w:r>
    </w:p>
    <w:p w14:paraId="550DFE6C" w14:textId="77777777" w:rsidR="00BA0B92" w:rsidRPr="00BA0B92" w:rsidRDefault="00BA0B92" w:rsidP="00BA0B92">
      <w:pPr>
        <w:pStyle w:val="CDINumberedList1L1"/>
        <w:divId w:val="935526654"/>
      </w:pPr>
      <w:proofErr w:type="spellStart"/>
      <w:r w:rsidRPr="00BA0B92">
        <w:t>Jatrana</w:t>
      </w:r>
      <w:proofErr w:type="spellEnd"/>
      <w:r w:rsidRPr="00BA0B92">
        <w:t xml:space="preserve"> S, Richardson K, </w:t>
      </w:r>
      <w:proofErr w:type="spellStart"/>
      <w:r w:rsidRPr="00BA0B92">
        <w:t>Pasupuleti</w:t>
      </w:r>
      <w:proofErr w:type="spellEnd"/>
      <w:r w:rsidRPr="00BA0B92">
        <w:t xml:space="preserve"> SSR. Investigating the dynamics of migration and health in Australia: a longitudinal study. </w:t>
      </w:r>
      <w:proofErr w:type="spellStart"/>
      <w:r w:rsidRPr="00BA0B92">
        <w:rPr>
          <w:i/>
          <w:iCs/>
        </w:rPr>
        <w:t>Eur</w:t>
      </w:r>
      <w:proofErr w:type="spellEnd"/>
      <w:r w:rsidRPr="00BA0B92">
        <w:rPr>
          <w:i/>
          <w:iCs/>
        </w:rPr>
        <w:t xml:space="preserve"> J </w:t>
      </w:r>
      <w:proofErr w:type="spellStart"/>
      <w:r w:rsidRPr="00BA0B92">
        <w:rPr>
          <w:i/>
          <w:iCs/>
        </w:rPr>
        <w:t>Popul</w:t>
      </w:r>
      <w:proofErr w:type="spellEnd"/>
      <w:r w:rsidRPr="00BA0B92">
        <w:t>. 2018;34(4):519–65. doi: https://doi.org/10.1007/s10680-017-9439-z.</w:t>
      </w:r>
    </w:p>
    <w:p w14:paraId="14E66328" w14:textId="77777777" w:rsidR="00BA0B92" w:rsidRPr="00BA0B92" w:rsidRDefault="00BA0B92" w:rsidP="00BA0B92">
      <w:pPr>
        <w:pStyle w:val="CDINumberedList1L1"/>
        <w:divId w:val="935526654"/>
      </w:pPr>
      <w:r w:rsidRPr="00BA0B92">
        <w:t xml:space="preserve">Au M, </w:t>
      </w:r>
      <w:proofErr w:type="spellStart"/>
      <w:r w:rsidRPr="00BA0B92">
        <w:t>Anandakumar</w:t>
      </w:r>
      <w:proofErr w:type="spellEnd"/>
      <w:r w:rsidRPr="00BA0B92">
        <w:t xml:space="preserve"> AD, Preston R, Ray RA, Davis M. A model explaining refugee experiences of the Australian healthcare system: a systematic review of refugee perceptions. </w:t>
      </w:r>
      <w:r w:rsidRPr="00BA0B92">
        <w:rPr>
          <w:i/>
          <w:iCs/>
        </w:rPr>
        <w:t>BMC Int Health Hum Rights</w:t>
      </w:r>
      <w:r w:rsidRPr="00BA0B92">
        <w:t>. 2019;19(1):22. doi: https://doi.org/10.1186/s12914-019-0206-6.</w:t>
      </w:r>
    </w:p>
    <w:p w14:paraId="6576BAEA" w14:textId="77777777" w:rsidR="00BA0B92" w:rsidRPr="00BA0B92" w:rsidRDefault="00BA0B92" w:rsidP="00BA0B92">
      <w:pPr>
        <w:pStyle w:val="CDINumberedList1L1"/>
        <w:divId w:val="935526654"/>
      </w:pPr>
      <w:r w:rsidRPr="00BA0B92">
        <w:lastRenderedPageBreak/>
        <w:t>Australian Bureau of Statistics. COVID-19 Mortality in Australia: Deaths registered until 31 May 2022. [Webpage.] Canberra: Australian Bureau of Statistics; 23 June 2022. Available from: https://www.abs.gov.au/articles/covid-19-mortality-australia-deaths-registered-until-31-may-2022.</w:t>
      </w:r>
    </w:p>
    <w:p w14:paraId="16ED847E" w14:textId="7C3B0F32" w:rsidR="00BA0B92" w:rsidRPr="00BA0B92" w:rsidRDefault="00BA0B92" w:rsidP="00BA0B92">
      <w:pPr>
        <w:pStyle w:val="CDINumberedList1L1"/>
        <w:divId w:val="935526654"/>
      </w:pPr>
      <w:r w:rsidRPr="00BA0B92">
        <w:t xml:space="preserve">Biddle N, Welsh J, Butterworth P, Edwards B, </w:t>
      </w:r>
      <w:proofErr w:type="spellStart"/>
      <w:r w:rsidRPr="00BA0B92">
        <w:t>Korda</w:t>
      </w:r>
      <w:proofErr w:type="spellEnd"/>
      <w:r w:rsidRPr="00BA0B92">
        <w:t xml:space="preserve"> R. </w:t>
      </w:r>
      <w:r w:rsidRPr="00BA0B92">
        <w:rPr>
          <w:i/>
          <w:iCs/>
        </w:rPr>
        <w:t>Socioeconomic determinants of vaccine uptake – July 2021 to January 2022</w:t>
      </w:r>
      <w:r w:rsidRPr="00BA0B92">
        <w:t>. Canberra: Australian Government Department of Health and Aged Care; 22</w:t>
      </w:r>
      <w:r w:rsidR="00A9655B">
        <w:t> </w:t>
      </w:r>
      <w:r w:rsidRPr="00BA0B92">
        <w:t>March 2022. Available from: https://www.health.gov.au/resources/publications/socioeconomic-determinants-of-vaccine-uptake-july-2021-to-january-2022.</w:t>
      </w:r>
    </w:p>
    <w:p w14:paraId="31009550" w14:textId="535791E9" w:rsidR="00BA0B92" w:rsidRPr="00BA0B92" w:rsidRDefault="00BA0B92" w:rsidP="00BA0B92">
      <w:pPr>
        <w:pStyle w:val="CDINumberedList1L1"/>
        <w:divId w:val="935526654"/>
      </w:pPr>
      <w:r w:rsidRPr="00BA0B92">
        <w:t xml:space="preserve">Wang B, Nolan R, Marshall H. COVID-19 immunisation, willingness to be vaccinated and vaccination strategies to improve vaccine uptake in Australia. </w:t>
      </w:r>
      <w:r w:rsidRPr="00BA0B92">
        <w:rPr>
          <w:i/>
          <w:iCs/>
        </w:rPr>
        <w:t>Vaccines (Basel)</w:t>
      </w:r>
      <w:r w:rsidRPr="00BA0B92">
        <w:t>. 2021;9(12):1467. doi:</w:t>
      </w:r>
      <w:r w:rsidR="00A9655B">
        <w:t> </w:t>
      </w:r>
      <w:r w:rsidRPr="00BA0B92">
        <w:t>https://doi.org/10.3390/vaccines9121467.</w:t>
      </w:r>
    </w:p>
    <w:p w14:paraId="7E6CF919" w14:textId="77777777" w:rsidR="00BA0B92" w:rsidRPr="00BA0B92" w:rsidRDefault="00BA0B92" w:rsidP="00BA0B92">
      <w:pPr>
        <w:pStyle w:val="CDINumberedList1L1"/>
        <w:divId w:val="935526654"/>
      </w:pPr>
      <w:proofErr w:type="spellStart"/>
      <w:r w:rsidRPr="00BA0B92">
        <w:t>Kpozehouen</w:t>
      </w:r>
      <w:proofErr w:type="spellEnd"/>
      <w:r w:rsidRPr="00BA0B92">
        <w:t xml:space="preserve"> E, Heywood AE, Kay M, Smith M, </w:t>
      </w:r>
      <w:proofErr w:type="spellStart"/>
      <w:r w:rsidRPr="00BA0B92">
        <w:t>Paudel</w:t>
      </w:r>
      <w:proofErr w:type="spellEnd"/>
      <w:r w:rsidRPr="00BA0B92">
        <w:t xml:space="preserve"> P, Sheikh M et al. Improving access to immunisation for migrants and refugees: recommendations from a stakeholder workshop. </w:t>
      </w:r>
      <w:proofErr w:type="spellStart"/>
      <w:r w:rsidRPr="00BA0B92">
        <w:rPr>
          <w:i/>
          <w:iCs/>
        </w:rPr>
        <w:t>Aust</w:t>
      </w:r>
      <w:proofErr w:type="spellEnd"/>
      <w:r w:rsidRPr="00BA0B92">
        <w:rPr>
          <w:i/>
          <w:iCs/>
        </w:rPr>
        <w:t xml:space="preserve"> N Z J Public Health</w:t>
      </w:r>
      <w:r w:rsidRPr="00BA0B92">
        <w:t>. 2017;41(2):118–20. doi: https://doi.org/10.1111/1753-6405.12602.</w:t>
      </w:r>
    </w:p>
    <w:p w14:paraId="359D2886" w14:textId="77777777" w:rsidR="00BA0B92" w:rsidRPr="00BA0B92" w:rsidRDefault="00BA0B92" w:rsidP="00BA0B92">
      <w:pPr>
        <w:pStyle w:val="CDINumberedList1L1"/>
        <w:divId w:val="935526654"/>
      </w:pPr>
      <w:r w:rsidRPr="00BA0B92">
        <w:t xml:space="preserve">Karki S, </w:t>
      </w:r>
      <w:proofErr w:type="spellStart"/>
      <w:r w:rsidRPr="00BA0B92">
        <w:t>Dyda</w:t>
      </w:r>
      <w:proofErr w:type="spellEnd"/>
      <w:r w:rsidRPr="00BA0B92">
        <w:t xml:space="preserve"> A, Newall A, Heywood A, </w:t>
      </w:r>
      <w:proofErr w:type="spellStart"/>
      <w:r w:rsidRPr="00BA0B92">
        <w:t>MacIntyre</w:t>
      </w:r>
      <w:proofErr w:type="spellEnd"/>
      <w:r w:rsidRPr="00BA0B92">
        <w:t xml:space="preserve"> CR, McIntyre P et al. Comparison of influenza vaccination coverage between immigrant and Australian-born adults. </w:t>
      </w:r>
      <w:r w:rsidRPr="00BA0B92">
        <w:rPr>
          <w:i/>
          <w:iCs/>
        </w:rPr>
        <w:t>Vaccine</w:t>
      </w:r>
      <w:r w:rsidRPr="00BA0B92">
        <w:t>. 2016;34(50):6388–95. doi: https://doi.org/10.1016/j.vaccine.2016.10.012.</w:t>
      </w:r>
    </w:p>
    <w:p w14:paraId="69285AA5" w14:textId="5956888D" w:rsidR="00BA0B92" w:rsidRPr="00BA0B92" w:rsidRDefault="00BA0B92" w:rsidP="00BA0B92">
      <w:pPr>
        <w:pStyle w:val="CDINumberedList1L1"/>
        <w:divId w:val="935526654"/>
      </w:pPr>
      <w:proofErr w:type="spellStart"/>
      <w:r w:rsidRPr="00BA0B92">
        <w:t>Dyda</w:t>
      </w:r>
      <w:proofErr w:type="spellEnd"/>
      <w:r w:rsidRPr="00BA0B92">
        <w:t xml:space="preserve"> A, </w:t>
      </w:r>
      <w:proofErr w:type="spellStart"/>
      <w:r w:rsidRPr="00BA0B92">
        <w:t>MacIntyre</w:t>
      </w:r>
      <w:proofErr w:type="spellEnd"/>
      <w:r w:rsidRPr="00BA0B92">
        <w:t xml:space="preserve"> CR, McIntyre P, Newall AT, Banks E, Kaldor J et al. Factors associated with influenza vaccination in middle and older aged Australian adults according to eligibility for the national vaccination program. </w:t>
      </w:r>
      <w:r w:rsidRPr="00BA0B92">
        <w:rPr>
          <w:i/>
          <w:iCs/>
        </w:rPr>
        <w:t>Vaccine</w:t>
      </w:r>
      <w:r w:rsidRPr="00BA0B92">
        <w:t>. 2015;33(29):3299–305. doi:</w:t>
      </w:r>
      <w:r w:rsidR="00A9655B">
        <w:t> </w:t>
      </w:r>
      <w:r w:rsidRPr="00BA0B92">
        <w:t>https://doi.org/10.1016/j.vaccine.2015.05.046.</w:t>
      </w:r>
    </w:p>
    <w:p w14:paraId="4C2A4E19" w14:textId="77777777" w:rsidR="00BA0B92" w:rsidRPr="00BA0B92" w:rsidRDefault="00BA0B92" w:rsidP="00BA0B92">
      <w:pPr>
        <w:pStyle w:val="CDINumberedList1L1"/>
        <w:divId w:val="935526654"/>
      </w:pPr>
      <w:r w:rsidRPr="00BA0B92">
        <w:t xml:space="preserve">New South Wales Council of Social Service (NCOSS). Issues, </w:t>
      </w:r>
      <w:proofErr w:type="gramStart"/>
      <w:r w:rsidRPr="00BA0B92">
        <w:t>barriers</w:t>
      </w:r>
      <w:proofErr w:type="gramEnd"/>
      <w:r w:rsidRPr="00BA0B92">
        <w:t xml:space="preserve"> and perceptions about the COVID-19 vaccine among culturally and linguistically diverse communities in NSW. [Webpage.] Sydney: NCOSS; 2021. Available from: https://www.ncoss.org.au/policy-advocacy/policy-research-publications/issues-barriers-and-perceptions-about-the-covid-19-vaccine-among-culturally-and-linguistically-diverse-communities-in-nsw/.</w:t>
      </w:r>
    </w:p>
    <w:p w14:paraId="0E02ECFA" w14:textId="77777777" w:rsidR="00BA0B92" w:rsidRPr="00BA0B92" w:rsidRDefault="00BA0B92" w:rsidP="00BA0B92">
      <w:pPr>
        <w:pStyle w:val="CDINumberedList1L1"/>
        <w:divId w:val="935526654"/>
      </w:pPr>
      <w:r w:rsidRPr="00BA0B92">
        <w:t xml:space="preserve">Migration Council Australia. </w:t>
      </w:r>
      <w:r w:rsidRPr="00BA0B92">
        <w:rPr>
          <w:i/>
          <w:iCs/>
        </w:rPr>
        <w:t>Supporting COVID-19 Vaccination Program rollout to migrant and refugee communities in Australia. Consultation Insights Report – January 2022</w:t>
      </w:r>
      <w:r w:rsidRPr="00BA0B92">
        <w:t>. Canberra/Brisbane: Migration Council Australia; February 2022. Available from: https://socialpolicy.org.au/wp-content/uploads/2022/02/Policy-brief-Supporting-COVID-19-Vaccination-Program-rollout.pdf.</w:t>
      </w:r>
    </w:p>
    <w:p w14:paraId="2149E8C5" w14:textId="77777777" w:rsidR="00BA0B92" w:rsidRPr="00BA0B92" w:rsidRDefault="00BA0B92" w:rsidP="00BA0B92">
      <w:pPr>
        <w:pStyle w:val="CDINumberedList1L1"/>
        <w:divId w:val="935526654"/>
      </w:pPr>
      <w:r w:rsidRPr="00BA0B92">
        <w:t>Australian Government Department of Health and Aged Care, Therapeutic Goods Administration (TGA). TGA Laboratories testing report: Seasonal influenza vaccines - Batch release 2020. [Webpage.] Canberra: Australian Government Department of Health and Aged Care, TGA; 28 August 2020. Available from: https://www.tga.gov.au/resources/publication/tga-laboratory-testing-reports/tga-laboratories-testing-report-seasonal-influenza-vaccines-batch-release-2020.</w:t>
      </w:r>
    </w:p>
    <w:p w14:paraId="2B739F04" w14:textId="00E56FC8" w:rsidR="00BA0B92" w:rsidRPr="00BA0B92" w:rsidRDefault="00BA0B92" w:rsidP="00BA0B92">
      <w:pPr>
        <w:pStyle w:val="CDINumberedList1L1"/>
        <w:divId w:val="935526654"/>
      </w:pPr>
      <w:r w:rsidRPr="00BA0B92">
        <w:t xml:space="preserve">Australian Government Department of Health and Aged Care. </w:t>
      </w:r>
      <w:r w:rsidRPr="00BA0B92">
        <w:rPr>
          <w:i/>
          <w:iCs/>
        </w:rPr>
        <w:t>National Immunisation Program (NIP) vaccine listing process</w:t>
      </w:r>
      <w:r w:rsidRPr="00BA0B92">
        <w:t>. Canberra: Australian Government Department of Health and Aged Care; 18</w:t>
      </w:r>
      <w:r w:rsidR="00A9655B">
        <w:t> </w:t>
      </w:r>
      <w:r w:rsidRPr="00BA0B92">
        <w:t>December 2017. Available from: https://www.health.gov.au/resources/publications/national-immunisation-program-nip-vaccine-listing-process.</w:t>
      </w:r>
    </w:p>
    <w:p w14:paraId="0DA820F1" w14:textId="77777777" w:rsidR="00BA0B92" w:rsidRPr="00BA0B92" w:rsidRDefault="00BA0B92" w:rsidP="00BA0B92">
      <w:pPr>
        <w:pStyle w:val="CDINumberedList1L1"/>
        <w:divId w:val="935526654"/>
      </w:pPr>
      <w:r w:rsidRPr="00BA0B92">
        <w:lastRenderedPageBreak/>
        <w:t xml:space="preserve">Raj SM, Chughtai AA, Sharma A, Tan TC, </w:t>
      </w:r>
      <w:proofErr w:type="spellStart"/>
      <w:r w:rsidRPr="00BA0B92">
        <w:t>MacIntyre</w:t>
      </w:r>
      <w:proofErr w:type="spellEnd"/>
      <w:r w:rsidRPr="00BA0B92">
        <w:t xml:space="preserve"> CR. Cost-benefit analysis of a national influenza vaccination program in preventing hospitalisation costs in Australian adults aged 50–64 years old. </w:t>
      </w:r>
      <w:r w:rsidRPr="00BA0B92">
        <w:rPr>
          <w:i/>
          <w:iCs/>
        </w:rPr>
        <w:t>Vaccine</w:t>
      </w:r>
      <w:r w:rsidRPr="00BA0B92">
        <w:t>. 2019;37(40):5979–85. doi: https://doi.org/10.1016/j.vaccine.2019.08.028.</w:t>
      </w:r>
    </w:p>
    <w:p w14:paraId="060471C8" w14:textId="77777777" w:rsidR="00BA0B92" w:rsidRPr="00BA0B92" w:rsidRDefault="00BA0B92" w:rsidP="00BA0B92">
      <w:pPr>
        <w:pStyle w:val="CDINumberedList1L1"/>
        <w:divId w:val="935526654"/>
      </w:pPr>
      <w:r w:rsidRPr="00BA0B92">
        <w:t xml:space="preserve">Newall AT, </w:t>
      </w:r>
      <w:proofErr w:type="spellStart"/>
      <w:r w:rsidRPr="00BA0B92">
        <w:t>Scuffham</w:t>
      </w:r>
      <w:proofErr w:type="spellEnd"/>
      <w:r w:rsidRPr="00BA0B92">
        <w:t xml:space="preserve"> PA, Kelly H, </w:t>
      </w:r>
      <w:proofErr w:type="spellStart"/>
      <w:r w:rsidRPr="00BA0B92">
        <w:t>Harsley</w:t>
      </w:r>
      <w:proofErr w:type="spellEnd"/>
      <w:r w:rsidRPr="00BA0B92">
        <w:t xml:space="preserve"> S, Macintyre CR. The cost-effectiveness of a universal influenza vaccination program for adults aged 50–64 years in Australia. </w:t>
      </w:r>
      <w:r w:rsidRPr="00BA0B92">
        <w:rPr>
          <w:i/>
          <w:iCs/>
        </w:rPr>
        <w:t>Vaccine</w:t>
      </w:r>
      <w:r w:rsidRPr="00BA0B92">
        <w:t>. 2008;26(17):2142–53. doi: https://doi.org/10.1016/j.vaccine.2008.01.050.</w:t>
      </w:r>
    </w:p>
    <w:p w14:paraId="738DA9EB" w14:textId="77777777" w:rsidR="00BA0B92" w:rsidRPr="00BA0B92" w:rsidRDefault="00BA0B92" w:rsidP="00BA0B92">
      <w:pPr>
        <w:pStyle w:val="CDINumberedList1L1"/>
        <w:divId w:val="935526654"/>
      </w:pPr>
      <w:r w:rsidRPr="00BA0B92">
        <w:t xml:space="preserve">Joint Committee on Vaccination and Immunisation (JCVI). </w:t>
      </w:r>
      <w:r w:rsidRPr="00BA0B92">
        <w:rPr>
          <w:i/>
          <w:iCs/>
        </w:rPr>
        <w:t>Advice on influenza vaccines for 2023/24</w:t>
      </w:r>
      <w:r w:rsidRPr="00BA0B92">
        <w:t>. London: Government of the United Kingdom, JCVI; November 2022. Available from: https://www.nitag-resource.org/sites/default/files/2022-11/Draft%20JCVI%20Statement%20on%20Influenza%20Vaccines%202023-24_final%20version.pdf.</w:t>
      </w:r>
    </w:p>
    <w:p w14:paraId="1CBC9947" w14:textId="378D88E3" w:rsidR="00BA0B92" w:rsidRPr="00BA0B92" w:rsidRDefault="00BA0B92" w:rsidP="00BA0B92">
      <w:pPr>
        <w:pStyle w:val="CDINumberedList1L1"/>
        <w:divId w:val="935526654"/>
      </w:pPr>
      <w:proofErr w:type="spellStart"/>
      <w:r w:rsidRPr="00BA0B92">
        <w:t>Dolgin</w:t>
      </w:r>
      <w:proofErr w:type="spellEnd"/>
      <w:r w:rsidRPr="00BA0B92">
        <w:t xml:space="preserve"> E. mRNA flu shots move into trials. </w:t>
      </w:r>
      <w:r w:rsidRPr="00BA0B92">
        <w:rPr>
          <w:i/>
          <w:iCs/>
        </w:rPr>
        <w:t xml:space="preserve">Nat Rev Drug </w:t>
      </w:r>
      <w:proofErr w:type="spellStart"/>
      <w:r w:rsidRPr="00BA0B92">
        <w:rPr>
          <w:i/>
          <w:iCs/>
        </w:rPr>
        <w:t>Discov</w:t>
      </w:r>
      <w:proofErr w:type="spellEnd"/>
      <w:r w:rsidRPr="00BA0B92">
        <w:t>. 2021;20(11):801–3. doi:</w:t>
      </w:r>
      <w:r w:rsidR="00A9655B">
        <w:t> </w:t>
      </w:r>
      <w:r w:rsidRPr="00BA0B92">
        <w:t>https://doi.org/10.1038/d41573-021-00176-7.</w:t>
      </w:r>
    </w:p>
    <w:p w14:paraId="0A510AD8" w14:textId="77777777" w:rsidR="00BA0B92" w:rsidRPr="00BA0B92" w:rsidRDefault="00BA0B92" w:rsidP="00BA0B92">
      <w:pPr>
        <w:pStyle w:val="CDINumberedList1L1"/>
        <w:divId w:val="935526654"/>
      </w:pPr>
      <w:r w:rsidRPr="00BA0B92">
        <w:t>Novavax. Evaluation of the Safety and Immunogenicity of Influenza and COVID-19 Combination Vaccine. ClinicalTrials.gov identifier: NCT04961541. [Webpage.] Bethesda: United States National Library of Medicine; 14 July 2021. [Accessed on 27 October 2021.] Available from: https://classic.clinicaltrials.gov/ct2/show/NCT04961541.</w:t>
      </w:r>
    </w:p>
    <w:p w14:paraId="6219AFF9"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AISR fortnightly report no. 16 – 25 October to 7 November 2021</w:t>
      </w:r>
      <w:r w:rsidRPr="00BA0B92">
        <w:t>. Canberra: Australian Government Department of Health and Aged Care; 13 December 2021. Available from: https://www.health.gov.au/resources/publications/aisr-fortnightly-report-no-16-25-october-to-7-november-2021.</w:t>
      </w:r>
    </w:p>
    <w:p w14:paraId="0E80C372"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AISR fortnightly report no. 17 – 16 November to 29 November 2020</w:t>
      </w:r>
      <w:r w:rsidRPr="00BA0B92">
        <w:t>. Canberra: Australian Government Department of Health and Aged Care; 4 December 2020. Available from: https://www.health.gov.au/resources/publications/aisr-fortnightly-report-no-17-16-november-to-29-november-2020.</w:t>
      </w:r>
    </w:p>
    <w:p w14:paraId="7CD693AC" w14:textId="77777777" w:rsidR="00BA0B92" w:rsidRPr="00BA0B92" w:rsidRDefault="00BA0B92" w:rsidP="00BA0B92">
      <w:pPr>
        <w:pStyle w:val="CDINumberedList1L1"/>
        <w:divId w:val="935526654"/>
      </w:pPr>
      <w:r w:rsidRPr="00BA0B92">
        <w:t>TGA. 2019 seasonal influenza vaccines. [Webpage.] Canberra: Australian Government Department of Health and Aged Care, TGA; 17 April 2019. Available from: https://www.tga.gov.au/news/safety-alerts/2019-seasonal-influenza-vaccines.</w:t>
      </w:r>
    </w:p>
    <w:p w14:paraId="4EEC3494"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AISR 2019 national influenza season summary</w:t>
      </w:r>
      <w:r w:rsidRPr="00BA0B92">
        <w:t>. Canberra: Australian Government Department of Health and Aged Care; 10 September 2021. Available from: https://www.health.gov.au/resources/publications/aisr-2019-national-influenza-season-summary.</w:t>
      </w:r>
    </w:p>
    <w:p w14:paraId="56A9FEC9"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AISR fortnightly report no. 12 – 23 September to 6 October 2019</w:t>
      </w:r>
      <w:r w:rsidRPr="00BA0B92">
        <w:t>. Canberra: Australian Government Department of Health and Aged Care; 11 October 2019. Available from: https://www.health.gov.au/resources/publications/aisr-fortnightly-report-no-12-23-september-to-6-october-2019.</w:t>
      </w:r>
    </w:p>
    <w:p w14:paraId="52A049DF" w14:textId="77777777" w:rsidR="00BA0B92" w:rsidRPr="00BA0B92" w:rsidRDefault="00BA0B92" w:rsidP="00BA0B92">
      <w:pPr>
        <w:pStyle w:val="CDINumberedList1L1"/>
        <w:divId w:val="935526654"/>
      </w:pPr>
      <w:r w:rsidRPr="00BA0B92">
        <w:t>TGA. 2018 seasonal influenza vaccines. [Webpage.] Canberra: Australian Government Department of Health and Aged Care; 27 March 2018. Available from: https://www.tga.gov.au/news/media-releases/2018-seasonal-influenza-vaccines.</w:t>
      </w:r>
    </w:p>
    <w:p w14:paraId="6A3EDC95" w14:textId="77777777" w:rsidR="00BA0B92" w:rsidRPr="00BA0B92" w:rsidRDefault="00BA0B92" w:rsidP="00BA0B92">
      <w:pPr>
        <w:pStyle w:val="CDINumberedList1L1"/>
        <w:divId w:val="935526654"/>
      </w:pPr>
      <w:r w:rsidRPr="00BA0B92">
        <w:lastRenderedPageBreak/>
        <w:t xml:space="preserve">Australian Government Department of Health and Aged Care. </w:t>
      </w:r>
      <w:r w:rsidRPr="00BA0B92">
        <w:rPr>
          <w:i/>
          <w:iCs/>
        </w:rPr>
        <w:t>Australian Influenza Surveillance Report – week ending 21 October 2018 (#11/2018)</w:t>
      </w:r>
      <w:r w:rsidRPr="00BA0B92">
        <w:t>. Canberra: Australian Government Department of Health and Aged Care; 26 October 2018. Available from: https://webarchive.nla.gov.au/awa/20190510054941/http://www.health.gov.au/internet/main/publishing.nsf/Content/ozflu-surveil-no11-18.htm.</w:t>
      </w:r>
    </w:p>
    <w:p w14:paraId="08A1218A"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Australian Influenza Surveillance Report – week ending 18 August 2017 (#07/2017)</w:t>
      </w:r>
      <w:r w:rsidRPr="00BA0B92">
        <w:t>. Canberra: Australian Government Department of Health and Aged Care; 29 August 2017. Available from: https://webarchive.nla.gov.au/awa/20190510055015/http://www.health.gov.au/internet/main/publishing.nsf/Content/ozflu-surveil-no07-17.htm.</w:t>
      </w:r>
    </w:p>
    <w:p w14:paraId="289063B5" w14:textId="02C079D7" w:rsidR="00BA0B92" w:rsidRPr="00BA0B92" w:rsidRDefault="00BA0B92" w:rsidP="00BA0B92">
      <w:pPr>
        <w:pStyle w:val="CDINumberedList1L1"/>
        <w:divId w:val="935526654"/>
      </w:pPr>
      <w:r w:rsidRPr="00BA0B92">
        <w:t xml:space="preserve">Sullivan SG, Chilver MB, Carville KS, Deng YM, Grant KA, Higgins G et al. Low interim influenza vaccine effectiveness, Australia, 1 May to 24 September 2017. </w:t>
      </w:r>
      <w:r w:rsidRPr="00BA0B92">
        <w:rPr>
          <w:i/>
          <w:iCs/>
        </w:rPr>
        <w:t xml:space="preserve">Euro </w:t>
      </w:r>
      <w:proofErr w:type="spellStart"/>
      <w:r w:rsidRPr="00BA0B92">
        <w:rPr>
          <w:i/>
          <w:iCs/>
        </w:rPr>
        <w:t>Surveill</w:t>
      </w:r>
      <w:proofErr w:type="spellEnd"/>
      <w:r w:rsidRPr="00BA0B92">
        <w:t>. 2017;22(43):17-00707. doi:</w:t>
      </w:r>
      <w:r w:rsidR="00A9655B">
        <w:t> </w:t>
      </w:r>
      <w:r w:rsidRPr="00BA0B92">
        <w:t>https://doi.org/10.2807/1560-7917.ES.2017.22.43.17-00707.</w:t>
      </w:r>
    </w:p>
    <w:p w14:paraId="464DCF8D"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Australian Influenza Surveillance Report – week ending 27 October 2017 (#12/2017)</w:t>
      </w:r>
      <w:r w:rsidRPr="00BA0B92">
        <w:t>. Canberra: Australian Government Department of Health and Aged Care; 6 January 2018. Available from: https://webarchive.nla.gov.au/awa/20190510055002/http://www.health.gov.au/internet/main/publishing.nsf/Content/ozflu-surveil-no12-17.htm.</w:t>
      </w:r>
    </w:p>
    <w:p w14:paraId="322021ED" w14:textId="77777777" w:rsidR="00BA0B92" w:rsidRPr="00BA0B92" w:rsidRDefault="00BA0B92" w:rsidP="00BA0B92">
      <w:pPr>
        <w:pStyle w:val="CDINumberedList1L1"/>
        <w:divId w:val="935526654"/>
      </w:pPr>
      <w:r w:rsidRPr="00BA0B92">
        <w:t xml:space="preserve">Australian Government Department of Health and Aged Care. </w:t>
      </w:r>
      <w:r w:rsidRPr="00BA0B92">
        <w:rPr>
          <w:i/>
          <w:iCs/>
        </w:rPr>
        <w:t>Australian Influenza Surveillance Report No 06 – 06 August to 19 August 2016</w:t>
      </w:r>
      <w:r w:rsidRPr="00BA0B92">
        <w:t>. Canberra: Australian Government Department of Health and Aged Care; 29 August 2016. Available from: https://webarchive.nla.gov.au/awa/20190510055040/http://www.health.gov.au/internet/main/publishing.nsf/Content/ozflu-surveil-no06-16.htm.</w:t>
      </w:r>
    </w:p>
    <w:p w14:paraId="15C24270" w14:textId="77777777" w:rsidR="00BA0B92" w:rsidRPr="00BA0B92" w:rsidRDefault="00BA0B92" w:rsidP="00BA0B92">
      <w:pPr>
        <w:pStyle w:val="CDINumberedList1L1"/>
        <w:divId w:val="935526654"/>
      </w:pPr>
      <w:r w:rsidRPr="00BA0B92">
        <w:t xml:space="preserve">Cheng AC, Holmes M, Dwyer DE, Irving L, </w:t>
      </w:r>
      <w:proofErr w:type="spellStart"/>
      <w:r w:rsidRPr="00BA0B92">
        <w:t>Korman</w:t>
      </w:r>
      <w:proofErr w:type="spellEnd"/>
      <w:r w:rsidRPr="00BA0B92">
        <w:t xml:space="preserve"> T, </w:t>
      </w:r>
      <w:proofErr w:type="spellStart"/>
      <w:r w:rsidRPr="00BA0B92">
        <w:t>Senenayake</w:t>
      </w:r>
      <w:proofErr w:type="spellEnd"/>
      <w:r w:rsidRPr="00BA0B92">
        <w:t xml:space="preserve"> S et al. Influenza epidemiology in patients admitted to sentinel Australian hospitals in 2016: the Influenza Complications Alert Network (FluCAN). </w:t>
      </w:r>
      <w:r w:rsidRPr="00BA0B92">
        <w:rPr>
          <w:i/>
          <w:iCs/>
        </w:rPr>
        <w:t>Commun Dis Intell Q Rep</w:t>
      </w:r>
      <w:r w:rsidRPr="00BA0B92">
        <w:t>. 2017;41(4</w:t>
      </w:r>
      <w:proofErr w:type="gramStart"/>
      <w:r w:rsidRPr="00BA0B92">
        <w:t>):E</w:t>
      </w:r>
      <w:proofErr w:type="gramEnd"/>
      <w:r w:rsidRPr="00BA0B92">
        <w:t>337–47.</w:t>
      </w:r>
    </w:p>
    <w:p w14:paraId="587B8526" w14:textId="77777777" w:rsidR="00BA0B92" w:rsidRPr="00BA0B92" w:rsidRDefault="00BA0B92" w:rsidP="00BA0B92">
      <w:pPr>
        <w:pStyle w:val="CDINumberedList1L1"/>
        <w:divId w:val="935526654"/>
      </w:pPr>
      <w:r w:rsidRPr="00BA0B92">
        <w:t xml:space="preserve">Regan AK, Fielding JE, Chilver MB, Carville KS, </w:t>
      </w:r>
      <w:proofErr w:type="spellStart"/>
      <w:r w:rsidRPr="00BA0B92">
        <w:t>Minney</w:t>
      </w:r>
      <w:proofErr w:type="spellEnd"/>
      <w:r w:rsidRPr="00BA0B92">
        <w:t xml:space="preserve">-Smith CA, Grant KA et al. </w:t>
      </w:r>
      <w:proofErr w:type="spellStart"/>
      <w:r w:rsidRPr="00BA0B92">
        <w:t>Intraseason</w:t>
      </w:r>
      <w:proofErr w:type="spellEnd"/>
      <w:r w:rsidRPr="00BA0B92">
        <w:t xml:space="preserve"> decline in influenza vaccine effectiveness during the 2016 southern hemisphere influenza season: a test-negative design study and phylogenetic assessment. </w:t>
      </w:r>
      <w:r w:rsidRPr="00BA0B92">
        <w:rPr>
          <w:i/>
          <w:iCs/>
        </w:rPr>
        <w:t>Vaccine</w:t>
      </w:r>
      <w:r w:rsidRPr="00BA0B92">
        <w:t>. 2019;37(19):2634–41. doi: https://doi.org/10.1016/j.vaccine.2019.02.027.</w:t>
      </w:r>
    </w:p>
    <w:p w14:paraId="7A4477A1" w14:textId="28C0F6F7" w:rsidR="00620509" w:rsidRPr="00A9655B" w:rsidRDefault="00BA0B92" w:rsidP="00892FFF">
      <w:pPr>
        <w:pStyle w:val="CDINumberedList1L1"/>
        <w:divId w:val="935526654"/>
      </w:pPr>
      <w:r w:rsidRPr="00BA0B92">
        <w:t xml:space="preserve">Australian Government Department of Health and Aged Care. </w:t>
      </w:r>
      <w:r w:rsidRPr="00A9655B">
        <w:rPr>
          <w:i/>
          <w:iCs/>
        </w:rPr>
        <w:t>Australian Influenza Surveillance Report No 10 – 01 October to 14 October 2016</w:t>
      </w:r>
      <w:r w:rsidRPr="00BA0B92">
        <w:t>. Canberra: Australian Government Department of Health and Aged Care; 25 October 2016. Available from: https://webarchive.nla.gov.au/awa/20190510055034/http://www.health.gov.au/internet/main/publishing.nsf/Content/ozflu-surveil-no10-16.htm.</w:t>
      </w:r>
    </w:p>
    <w:p w14:paraId="2FAE5998" w14:textId="77777777" w:rsidR="001A26DD" w:rsidRDefault="001A26DD" w:rsidP="0037146D">
      <w:pPr>
        <w:divId w:val="935526654"/>
        <w:sectPr w:rsidR="001A26DD"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77023345" w14:textId="4F76C949" w:rsidR="00AC0F5D" w:rsidRDefault="00AC0F5D" w:rsidP="00AC0F5D">
      <w:pPr>
        <w:pStyle w:val="Heading1"/>
      </w:pPr>
      <w:r>
        <w:lastRenderedPageBreak/>
        <w:t>Appendix A</w:t>
      </w:r>
      <w:r w:rsidR="00544964">
        <w:t>: Supplementary material</w:t>
      </w:r>
    </w:p>
    <w:p w14:paraId="2A75DDBF" w14:textId="6E916EA1" w:rsidR="00AC0F5D" w:rsidRDefault="00B978A2" w:rsidP="00AC0F5D">
      <w:pPr>
        <w:pStyle w:val="CDIFigure-Table-Title"/>
      </w:pPr>
      <w:r w:rsidRPr="00B978A2">
        <w:t>Table A.1: Vaccine compositions, circulating strains, and estimated vaccine effectiveness (VE) in Australia, by year, 2016–</w:t>
      </w:r>
      <w:proofErr w:type="gramStart"/>
      <w:r w:rsidRPr="00B978A2">
        <w:t>2022</w:t>
      </w:r>
      <w:proofErr w:type="gramEnd"/>
    </w:p>
    <w:tbl>
      <w:tblPr>
        <w:tblW w:w="14740" w:type="dxa"/>
        <w:tblInd w:w="-8" w:type="dxa"/>
        <w:tblLayout w:type="fixed"/>
        <w:tblCellMar>
          <w:left w:w="0" w:type="dxa"/>
          <w:right w:w="0" w:type="dxa"/>
        </w:tblCellMar>
        <w:tblLook w:val="0000" w:firstRow="0" w:lastRow="0" w:firstColumn="0" w:lastColumn="0" w:noHBand="0" w:noVBand="0"/>
        <w:tblCaption w:val="Table A.1: Vaccine compositions, circulating strains, and estimated vaccine effectiveness (VE) in Australia, by year, 2016–2022"/>
        <w:tblDescription w:val="This table provides information on the compositions of egg-based and cell-based influenza vaccines, the relevant circulating influenza virus strains, and estimated vaccine effectiveness based on hospital and GP surveillance data in Australia for each year from 2016 to 2022. During 2016-2019, influenza vaccine effectiveness ranged from 13% to 42% based on hospitalization data, and 33% to 68% based on GP data. Regarding the circulating strains, influenza B is classified into two lineages: B/Yamagata and B/Victoria, but B/Yamagata has not been reported since 2020."/>
      </w:tblPr>
      <w:tblGrid>
        <w:gridCol w:w="680"/>
        <w:gridCol w:w="907"/>
        <w:gridCol w:w="4365"/>
        <w:gridCol w:w="4252"/>
        <w:gridCol w:w="1701"/>
        <w:gridCol w:w="1417"/>
        <w:gridCol w:w="1418"/>
      </w:tblGrid>
      <w:tr w:rsidR="00544964" w:rsidRPr="00765689" w14:paraId="34959E36" w14:textId="77777777" w:rsidTr="00544964">
        <w:tblPrEx>
          <w:tblCellMar>
            <w:top w:w="0" w:type="dxa"/>
            <w:left w:w="0" w:type="dxa"/>
            <w:bottom w:w="0" w:type="dxa"/>
            <w:right w:w="0" w:type="dxa"/>
          </w:tblCellMar>
        </w:tblPrEx>
        <w:trPr>
          <w:trHeight w:val="20"/>
          <w:tblHeader/>
        </w:trPr>
        <w:tc>
          <w:tcPr>
            <w:tcW w:w="680" w:type="dxa"/>
            <w:vMerge w:val="restart"/>
            <w:shd w:val="clear" w:color="auto" w:fill="033636" w:themeFill="text2"/>
            <w:tcMar>
              <w:top w:w="113" w:type="dxa"/>
              <w:left w:w="113" w:type="dxa"/>
              <w:bottom w:w="113" w:type="dxa"/>
              <w:right w:w="113" w:type="dxa"/>
            </w:tcMar>
            <w:vAlign w:val="bottom"/>
          </w:tcPr>
          <w:p w14:paraId="7CF0A54C" w14:textId="77777777" w:rsidR="00544964" w:rsidRPr="00765689" w:rsidRDefault="00544964" w:rsidP="00765689">
            <w:pPr>
              <w:pStyle w:val="CDIFigure-Table-H1Left"/>
            </w:pPr>
            <w:r w:rsidRPr="00765689">
              <w:t>Year</w:t>
            </w:r>
          </w:p>
        </w:tc>
        <w:tc>
          <w:tcPr>
            <w:tcW w:w="907" w:type="dxa"/>
            <w:vMerge w:val="restart"/>
            <w:tcBorders>
              <w:right w:val="single" w:sz="4" w:space="0" w:color="FFFFFF" w:themeColor="background1"/>
            </w:tcBorders>
            <w:shd w:val="clear" w:color="auto" w:fill="033636" w:themeFill="text2"/>
            <w:tcMar>
              <w:top w:w="113" w:type="dxa"/>
              <w:left w:w="113" w:type="dxa"/>
              <w:bottom w:w="113" w:type="dxa"/>
              <w:right w:w="113" w:type="dxa"/>
            </w:tcMar>
            <w:vAlign w:val="bottom"/>
          </w:tcPr>
          <w:p w14:paraId="37025E1B" w14:textId="77777777" w:rsidR="00544964" w:rsidRPr="00765689" w:rsidRDefault="00544964" w:rsidP="008639D0">
            <w:pPr>
              <w:pStyle w:val="CDIFigure-Table-H1"/>
            </w:pPr>
            <w:r w:rsidRPr="00765689">
              <w:t>Ref.</w:t>
            </w:r>
          </w:p>
        </w:tc>
        <w:tc>
          <w:tcPr>
            <w:tcW w:w="8617"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70E0F145" w14:textId="77777777" w:rsidR="00544964" w:rsidRPr="00765689" w:rsidRDefault="00544964" w:rsidP="008639D0">
            <w:pPr>
              <w:pStyle w:val="CDIFigure-Table-H1"/>
            </w:pPr>
            <w:r w:rsidRPr="00765689">
              <w:t>Vaccine composition</w:t>
            </w:r>
          </w:p>
        </w:tc>
        <w:tc>
          <w:tcPr>
            <w:tcW w:w="1701" w:type="dxa"/>
            <w:vMerge w:val="restart"/>
            <w:tcBorders>
              <w:left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0094DE81" w14:textId="0DFD489A" w:rsidR="00544964" w:rsidRPr="00765689" w:rsidRDefault="00544964" w:rsidP="007649F9">
            <w:pPr>
              <w:pStyle w:val="CDIFigure-Table-H1"/>
              <w:jc w:val="left"/>
            </w:pPr>
            <w:r w:rsidRPr="00765689">
              <w:t xml:space="preserve">Circulating </w:t>
            </w:r>
            <w:proofErr w:type="spellStart"/>
            <w:r w:rsidRPr="00765689">
              <w:t>strains</w:t>
            </w:r>
            <w:r w:rsidRPr="008639D0">
              <w:rPr>
                <w:vertAlign w:val="superscript"/>
              </w:rPr>
              <w:t>a</w:t>
            </w:r>
            <w:proofErr w:type="spellEnd"/>
          </w:p>
        </w:tc>
        <w:tc>
          <w:tcPr>
            <w:tcW w:w="2835" w:type="dxa"/>
            <w:gridSpan w:val="2"/>
            <w:tcBorders>
              <w:left w:val="single" w:sz="4" w:space="0" w:color="FFFFFF" w:themeColor="background1"/>
              <w:bottom w:val="single" w:sz="4" w:space="0" w:color="FFFFFF" w:themeColor="background1"/>
            </w:tcBorders>
            <w:shd w:val="clear" w:color="auto" w:fill="033636" w:themeFill="text2"/>
            <w:tcMar>
              <w:top w:w="113" w:type="dxa"/>
              <w:left w:w="113" w:type="dxa"/>
              <w:bottom w:w="113" w:type="dxa"/>
              <w:right w:w="113" w:type="dxa"/>
            </w:tcMar>
            <w:vAlign w:val="bottom"/>
          </w:tcPr>
          <w:p w14:paraId="6A28A6D8" w14:textId="77777777" w:rsidR="00544964" w:rsidRPr="00765689" w:rsidRDefault="00544964" w:rsidP="008639D0">
            <w:pPr>
              <w:pStyle w:val="CDIFigure-Table-H1"/>
            </w:pPr>
            <w:r w:rsidRPr="00765689">
              <w:t>Overall estimated VE (95% CI)</w:t>
            </w:r>
          </w:p>
        </w:tc>
      </w:tr>
      <w:tr w:rsidR="00544964" w:rsidRPr="00765689" w14:paraId="6C64D9C1" w14:textId="77777777" w:rsidTr="00544964">
        <w:tblPrEx>
          <w:tblCellMar>
            <w:top w:w="0" w:type="dxa"/>
            <w:left w:w="0" w:type="dxa"/>
            <w:bottom w:w="0" w:type="dxa"/>
            <w:right w:w="0" w:type="dxa"/>
          </w:tblCellMar>
        </w:tblPrEx>
        <w:trPr>
          <w:trHeight w:val="20"/>
          <w:tblHeader/>
        </w:trPr>
        <w:tc>
          <w:tcPr>
            <w:tcW w:w="680" w:type="dxa"/>
            <w:vMerge/>
            <w:shd w:val="clear" w:color="auto" w:fill="033636" w:themeFill="text2"/>
          </w:tcPr>
          <w:p w14:paraId="6AE35894" w14:textId="77777777" w:rsidR="00544964" w:rsidRPr="00765689" w:rsidRDefault="00544964" w:rsidP="00765689"/>
        </w:tc>
        <w:tc>
          <w:tcPr>
            <w:tcW w:w="907" w:type="dxa"/>
            <w:vMerge/>
            <w:tcBorders>
              <w:right w:val="single" w:sz="4" w:space="0" w:color="FFFFFF" w:themeColor="background1"/>
            </w:tcBorders>
            <w:shd w:val="clear" w:color="auto" w:fill="033636" w:themeFill="text2"/>
          </w:tcPr>
          <w:p w14:paraId="2ECA133D" w14:textId="77777777" w:rsidR="00544964" w:rsidRPr="00765689" w:rsidRDefault="00544964" w:rsidP="00765689"/>
        </w:tc>
        <w:tc>
          <w:tcPr>
            <w:tcW w:w="4365" w:type="dxa"/>
            <w:tcBorders>
              <w:top w:val="single" w:sz="4" w:space="0" w:color="FFFFFF" w:themeColor="background1"/>
              <w:left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1950CD2D" w14:textId="77777777" w:rsidR="00544964" w:rsidRPr="00765689" w:rsidRDefault="00544964" w:rsidP="00765689">
            <w:pPr>
              <w:pStyle w:val="CDIFigure-Table-H1Left"/>
            </w:pPr>
            <w:r w:rsidRPr="00765689">
              <w:t>Egg-based</w:t>
            </w:r>
          </w:p>
        </w:tc>
        <w:tc>
          <w:tcPr>
            <w:tcW w:w="4252" w:type="dxa"/>
            <w:tcBorders>
              <w:top w:val="single" w:sz="4" w:space="0" w:color="FFFFFF" w:themeColor="background1"/>
              <w:left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4BDBEBCC" w14:textId="77777777" w:rsidR="00544964" w:rsidRPr="00765689" w:rsidRDefault="00544964" w:rsidP="00765689">
            <w:pPr>
              <w:pStyle w:val="CDIFigure-Table-TotalLeft"/>
            </w:pPr>
            <w:r w:rsidRPr="00765689">
              <w:t>Cell-based</w:t>
            </w:r>
          </w:p>
        </w:tc>
        <w:tc>
          <w:tcPr>
            <w:tcW w:w="1701" w:type="dxa"/>
            <w:vMerge/>
            <w:tcBorders>
              <w:left w:val="single" w:sz="4" w:space="0" w:color="FFFFFF" w:themeColor="background1"/>
              <w:right w:val="single" w:sz="4" w:space="0" w:color="FFFFFF" w:themeColor="background1"/>
            </w:tcBorders>
            <w:shd w:val="clear" w:color="auto" w:fill="033636" w:themeFill="text2"/>
            <w:vAlign w:val="center"/>
          </w:tcPr>
          <w:p w14:paraId="4EF1D0A4" w14:textId="5F624AA2" w:rsidR="00544964" w:rsidRPr="007649F9" w:rsidRDefault="00544964" w:rsidP="007649F9">
            <w:pPr>
              <w:pStyle w:val="CDIFigure-Table-H1"/>
              <w:jc w:val="left"/>
              <w:rPr>
                <w:bCs/>
              </w:rPr>
            </w:pPr>
          </w:p>
        </w:tc>
        <w:tc>
          <w:tcPr>
            <w:tcW w:w="141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2DDE141F" w14:textId="77777777" w:rsidR="00544964" w:rsidRPr="00765689" w:rsidRDefault="00544964" w:rsidP="008639D0">
            <w:pPr>
              <w:pStyle w:val="CDIFigure-Table-H1"/>
            </w:pPr>
            <w:r w:rsidRPr="00765689">
              <w:t>Hospitalisation (FluCAN)</w:t>
            </w:r>
          </w:p>
        </w:tc>
        <w:tc>
          <w:tcPr>
            <w:tcW w:w="1418"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BB6BC5C" w14:textId="77777777" w:rsidR="00544964" w:rsidRPr="00765689" w:rsidRDefault="00544964" w:rsidP="008639D0">
            <w:pPr>
              <w:pStyle w:val="CDIFigure-Table-H1"/>
            </w:pPr>
            <w:r w:rsidRPr="00765689">
              <w:t>GP visits (ASPREN)</w:t>
            </w:r>
          </w:p>
        </w:tc>
      </w:tr>
      <w:tr w:rsidR="007649F9" w:rsidRPr="00765689" w14:paraId="089EC90E" w14:textId="77777777" w:rsidTr="002655ED">
        <w:tblPrEx>
          <w:tblCellMar>
            <w:top w:w="0" w:type="dxa"/>
            <w:left w:w="0" w:type="dxa"/>
            <w:bottom w:w="0" w:type="dxa"/>
            <w:right w:w="0" w:type="dxa"/>
          </w:tblCellMar>
        </w:tblPrEx>
        <w:trPr>
          <w:trHeight w:val="20"/>
        </w:trPr>
        <w:tc>
          <w:tcPr>
            <w:tcW w:w="680"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402B420" w14:textId="77777777" w:rsidR="00765689" w:rsidRPr="00765689" w:rsidRDefault="00765689" w:rsidP="008639D0">
            <w:pPr>
              <w:pStyle w:val="CDIFigure-Table-BodyTextLeft"/>
            </w:pPr>
            <w:r w:rsidRPr="00765689">
              <w:t>2022</w:t>
            </w:r>
          </w:p>
        </w:tc>
        <w:tc>
          <w:tcPr>
            <w:tcW w:w="907" w:type="dxa"/>
            <w:vMerge w:val="restart"/>
            <w:tcBorders>
              <w:bottom w:val="single" w:sz="4" w:space="0" w:color="033636" w:themeColor="text2"/>
            </w:tcBorders>
            <w:tcMar>
              <w:top w:w="113" w:type="dxa"/>
              <w:left w:w="113" w:type="dxa"/>
              <w:bottom w:w="113" w:type="dxa"/>
              <w:right w:w="113" w:type="dxa"/>
            </w:tcMar>
            <w:vAlign w:val="center"/>
          </w:tcPr>
          <w:p w14:paraId="26C528F0" w14:textId="77777777" w:rsidR="00765689" w:rsidRPr="00765689" w:rsidRDefault="00765689" w:rsidP="008639D0">
            <w:pPr>
              <w:pStyle w:val="CDIFigure-Table-BodyTextCentre"/>
            </w:pPr>
            <w:r w:rsidRPr="00765689">
              <w:t>21</w:t>
            </w:r>
          </w:p>
        </w:tc>
        <w:tc>
          <w:tcPr>
            <w:tcW w:w="4365" w:type="dxa"/>
            <w:tcMar>
              <w:top w:w="113" w:type="dxa"/>
              <w:left w:w="113" w:type="dxa"/>
              <w:bottom w:w="113" w:type="dxa"/>
              <w:right w:w="113" w:type="dxa"/>
            </w:tcMar>
            <w:vAlign w:val="center"/>
          </w:tcPr>
          <w:p w14:paraId="74C035A8" w14:textId="77777777" w:rsidR="00765689" w:rsidRPr="00765689" w:rsidRDefault="00765689" w:rsidP="008639D0">
            <w:pPr>
              <w:pStyle w:val="CDIFigure-Table-BodyTextLeft"/>
            </w:pPr>
            <w:r w:rsidRPr="00765689">
              <w:t>A/Victoria/2570/2019 (H1N1)pdm09-like virus</w:t>
            </w:r>
          </w:p>
        </w:tc>
        <w:tc>
          <w:tcPr>
            <w:tcW w:w="4252" w:type="dxa"/>
            <w:tcMar>
              <w:top w:w="113" w:type="dxa"/>
              <w:left w:w="113" w:type="dxa"/>
              <w:bottom w:w="113" w:type="dxa"/>
              <w:right w:w="113" w:type="dxa"/>
            </w:tcMar>
            <w:vAlign w:val="center"/>
          </w:tcPr>
          <w:p w14:paraId="0CD77043" w14:textId="77777777" w:rsidR="00765689" w:rsidRPr="00765689" w:rsidRDefault="00765689" w:rsidP="008639D0">
            <w:pPr>
              <w:pStyle w:val="CDIFigure-Table-BodyTextLeft"/>
            </w:pPr>
            <w:r w:rsidRPr="00765689">
              <w:t>A/Wisconsin/588/2019 (H1N1)pdm09-like virus</w:t>
            </w:r>
          </w:p>
        </w:tc>
        <w:tc>
          <w:tcPr>
            <w:tcW w:w="1701" w:type="dxa"/>
            <w:tcMar>
              <w:top w:w="113" w:type="dxa"/>
              <w:left w:w="113" w:type="dxa"/>
              <w:bottom w:w="113" w:type="dxa"/>
              <w:right w:w="113" w:type="dxa"/>
            </w:tcMar>
            <w:vAlign w:val="center"/>
          </w:tcPr>
          <w:p w14:paraId="3FFA6221" w14:textId="77777777" w:rsidR="00765689" w:rsidRPr="00765689" w:rsidRDefault="00765689" w:rsidP="008639D0">
            <w:pPr>
              <w:pStyle w:val="CDIFigure-Table-BodyTextLeft"/>
            </w:pPr>
            <w:r w:rsidRPr="00765689">
              <w:t>A(H1N1) pdm09</w:t>
            </w:r>
          </w:p>
        </w:tc>
        <w:tc>
          <w:tcPr>
            <w:tcW w:w="1417" w:type="dxa"/>
            <w:vMerge w:val="restart"/>
            <w:tcBorders>
              <w:bottom w:val="single" w:sz="4" w:space="0" w:color="033636" w:themeColor="text2"/>
            </w:tcBorders>
            <w:tcMar>
              <w:top w:w="113" w:type="dxa"/>
              <w:left w:w="113" w:type="dxa"/>
              <w:bottom w:w="113" w:type="dxa"/>
              <w:right w:w="113" w:type="dxa"/>
            </w:tcMar>
            <w:vAlign w:val="center"/>
          </w:tcPr>
          <w:p w14:paraId="039350C7" w14:textId="77777777" w:rsidR="00765689" w:rsidRPr="00765689" w:rsidRDefault="00765689" w:rsidP="008639D0">
            <w:pPr>
              <w:pStyle w:val="CDIFigure-Table-BodyTextCentre"/>
            </w:pPr>
            <w:r w:rsidRPr="00765689">
              <w:t>52% (39–62</w:t>
            </w:r>
            <w:proofErr w:type="gramStart"/>
            <w:r w:rsidRPr="00765689">
              <w:t>%)</w:t>
            </w:r>
            <w:r w:rsidRPr="008639D0">
              <w:rPr>
                <w:vertAlign w:val="superscript"/>
              </w:rPr>
              <w:t>b</w:t>
            </w:r>
            <w:proofErr w:type="gramEnd"/>
          </w:p>
        </w:tc>
        <w:tc>
          <w:tcPr>
            <w:tcW w:w="1418" w:type="dxa"/>
            <w:vMerge w:val="restart"/>
            <w:tcBorders>
              <w:bottom w:val="single" w:sz="4" w:space="0" w:color="033636" w:themeColor="text2"/>
            </w:tcBorders>
            <w:tcMar>
              <w:top w:w="113" w:type="dxa"/>
              <w:left w:w="113" w:type="dxa"/>
              <w:bottom w:w="113" w:type="dxa"/>
              <w:right w:w="113" w:type="dxa"/>
            </w:tcMar>
            <w:vAlign w:val="center"/>
          </w:tcPr>
          <w:p w14:paraId="458E8C07" w14:textId="77777777" w:rsidR="00765689" w:rsidRPr="00765689" w:rsidRDefault="00765689" w:rsidP="008639D0">
            <w:pPr>
              <w:pStyle w:val="CDIFigure-Table-BodyTextCentre"/>
            </w:pPr>
            <w:r w:rsidRPr="00765689">
              <w:t>NA</w:t>
            </w:r>
          </w:p>
        </w:tc>
      </w:tr>
      <w:tr w:rsidR="007649F9" w:rsidRPr="00765689" w14:paraId="38439811"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4E93CFC3" w14:textId="77777777" w:rsidR="00765689" w:rsidRPr="00765689" w:rsidRDefault="00765689" w:rsidP="008639D0">
            <w:pPr>
              <w:pStyle w:val="CDIFigure-Table-BodyTextLeft"/>
            </w:pPr>
          </w:p>
        </w:tc>
        <w:tc>
          <w:tcPr>
            <w:tcW w:w="907" w:type="dxa"/>
            <w:vMerge/>
            <w:tcBorders>
              <w:bottom w:val="single" w:sz="4" w:space="0" w:color="033636" w:themeColor="text2"/>
            </w:tcBorders>
          </w:tcPr>
          <w:p w14:paraId="17965617" w14:textId="77777777" w:rsidR="00765689" w:rsidRPr="00765689" w:rsidRDefault="00765689" w:rsidP="00765689"/>
        </w:tc>
        <w:tc>
          <w:tcPr>
            <w:tcW w:w="4365" w:type="dxa"/>
            <w:tcMar>
              <w:top w:w="113" w:type="dxa"/>
              <w:left w:w="113" w:type="dxa"/>
              <w:bottom w:w="113" w:type="dxa"/>
              <w:right w:w="113" w:type="dxa"/>
            </w:tcMar>
            <w:vAlign w:val="center"/>
          </w:tcPr>
          <w:p w14:paraId="7D71798F" w14:textId="77777777" w:rsidR="00765689" w:rsidRPr="00765689" w:rsidRDefault="00765689" w:rsidP="008639D0">
            <w:pPr>
              <w:pStyle w:val="CDIFigure-Table-BodyTextLeft"/>
            </w:pPr>
            <w:r w:rsidRPr="00765689">
              <w:t>A/Darwin/9/2021 (H3N2)-like virus</w:t>
            </w:r>
          </w:p>
        </w:tc>
        <w:tc>
          <w:tcPr>
            <w:tcW w:w="4252" w:type="dxa"/>
            <w:tcMar>
              <w:top w:w="113" w:type="dxa"/>
              <w:left w:w="113" w:type="dxa"/>
              <w:bottom w:w="113" w:type="dxa"/>
              <w:right w:w="113" w:type="dxa"/>
            </w:tcMar>
            <w:vAlign w:val="center"/>
          </w:tcPr>
          <w:p w14:paraId="05514E8D" w14:textId="77777777" w:rsidR="00765689" w:rsidRPr="00765689" w:rsidRDefault="00765689" w:rsidP="008639D0">
            <w:pPr>
              <w:pStyle w:val="CDIFigure-Table-BodyTextLeft"/>
            </w:pPr>
            <w:r w:rsidRPr="00765689">
              <w:t>A/Darwin/6/2021 (H3N2)-like virus</w:t>
            </w:r>
          </w:p>
        </w:tc>
        <w:tc>
          <w:tcPr>
            <w:tcW w:w="1701" w:type="dxa"/>
            <w:tcMar>
              <w:top w:w="113" w:type="dxa"/>
              <w:left w:w="113" w:type="dxa"/>
              <w:bottom w:w="113" w:type="dxa"/>
              <w:right w:w="113" w:type="dxa"/>
            </w:tcMar>
            <w:vAlign w:val="center"/>
          </w:tcPr>
          <w:p w14:paraId="1B3F2468" w14:textId="77777777" w:rsidR="00765689" w:rsidRPr="00765689" w:rsidRDefault="00765689" w:rsidP="008639D0">
            <w:pPr>
              <w:pStyle w:val="CDIFigure-Table-BodyTextLeft"/>
            </w:pPr>
            <w:r w:rsidRPr="00765689">
              <w:t>A(H3N2)</w:t>
            </w:r>
          </w:p>
        </w:tc>
        <w:tc>
          <w:tcPr>
            <w:tcW w:w="1417" w:type="dxa"/>
            <w:vMerge/>
            <w:tcBorders>
              <w:bottom w:val="single" w:sz="4" w:space="0" w:color="033636" w:themeColor="text2"/>
            </w:tcBorders>
          </w:tcPr>
          <w:p w14:paraId="60647190"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08657B9B" w14:textId="77777777" w:rsidR="00765689" w:rsidRPr="00765689" w:rsidRDefault="00765689" w:rsidP="008639D0">
            <w:pPr>
              <w:pStyle w:val="CDIFigure-Table-BodyTextCentre"/>
            </w:pPr>
          </w:p>
        </w:tc>
      </w:tr>
      <w:tr w:rsidR="007649F9" w:rsidRPr="00765689" w14:paraId="2524D39D"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142D84D8" w14:textId="77777777" w:rsidR="00765689" w:rsidRPr="00765689" w:rsidRDefault="00765689" w:rsidP="008639D0">
            <w:pPr>
              <w:pStyle w:val="CDIFigure-Table-BodyTextLeft"/>
            </w:pPr>
          </w:p>
        </w:tc>
        <w:tc>
          <w:tcPr>
            <w:tcW w:w="907" w:type="dxa"/>
            <w:vMerge/>
            <w:tcBorders>
              <w:bottom w:val="single" w:sz="4" w:space="0" w:color="033636" w:themeColor="text2"/>
            </w:tcBorders>
          </w:tcPr>
          <w:p w14:paraId="314DFC94" w14:textId="77777777" w:rsidR="00765689" w:rsidRPr="00765689" w:rsidRDefault="00765689" w:rsidP="00765689"/>
        </w:tc>
        <w:tc>
          <w:tcPr>
            <w:tcW w:w="4365" w:type="dxa"/>
            <w:tcMar>
              <w:top w:w="113" w:type="dxa"/>
              <w:left w:w="113" w:type="dxa"/>
              <w:bottom w:w="113" w:type="dxa"/>
              <w:right w:w="113" w:type="dxa"/>
            </w:tcMar>
            <w:vAlign w:val="center"/>
          </w:tcPr>
          <w:p w14:paraId="17DF96C1" w14:textId="77777777" w:rsidR="00765689" w:rsidRPr="00765689" w:rsidRDefault="00765689" w:rsidP="008639D0">
            <w:pPr>
              <w:pStyle w:val="CDIFigure-Table-BodyTextLeft"/>
            </w:pPr>
            <w:r w:rsidRPr="00765689">
              <w:t>B/Austria/1359417/2021 (B/Victoria lineage)-like virus</w:t>
            </w:r>
          </w:p>
        </w:tc>
        <w:tc>
          <w:tcPr>
            <w:tcW w:w="4252" w:type="dxa"/>
            <w:tcMar>
              <w:top w:w="113" w:type="dxa"/>
              <w:left w:w="113" w:type="dxa"/>
              <w:bottom w:w="113" w:type="dxa"/>
              <w:right w:w="113" w:type="dxa"/>
            </w:tcMar>
            <w:vAlign w:val="center"/>
          </w:tcPr>
          <w:p w14:paraId="77A72D8C" w14:textId="77777777" w:rsidR="00765689" w:rsidRPr="00765689" w:rsidRDefault="00765689" w:rsidP="008639D0">
            <w:pPr>
              <w:pStyle w:val="CDIFigure-Table-BodyTextLeft"/>
            </w:pPr>
            <w:r w:rsidRPr="00765689">
              <w:t>B/Austria/1359417/2021-like (B/Victoria lineage) virus</w:t>
            </w:r>
          </w:p>
        </w:tc>
        <w:tc>
          <w:tcPr>
            <w:tcW w:w="1701" w:type="dxa"/>
            <w:tcMar>
              <w:top w:w="113" w:type="dxa"/>
              <w:left w:w="113" w:type="dxa"/>
              <w:bottom w:w="113" w:type="dxa"/>
              <w:right w:w="113" w:type="dxa"/>
            </w:tcMar>
            <w:vAlign w:val="center"/>
          </w:tcPr>
          <w:p w14:paraId="638B3FFB" w14:textId="77777777" w:rsidR="00765689" w:rsidRPr="00765689" w:rsidRDefault="00765689" w:rsidP="008639D0">
            <w:pPr>
              <w:pStyle w:val="CDIFigure-Table-BodyTextLeft"/>
            </w:pPr>
            <w:r w:rsidRPr="00765689">
              <w:t>B/Victoria lineage</w:t>
            </w:r>
          </w:p>
        </w:tc>
        <w:tc>
          <w:tcPr>
            <w:tcW w:w="1417" w:type="dxa"/>
            <w:vMerge/>
            <w:tcBorders>
              <w:bottom w:val="single" w:sz="4" w:space="0" w:color="033636" w:themeColor="text2"/>
            </w:tcBorders>
          </w:tcPr>
          <w:p w14:paraId="70225E37"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7185629B" w14:textId="77777777" w:rsidR="00765689" w:rsidRPr="00765689" w:rsidRDefault="00765689" w:rsidP="008639D0">
            <w:pPr>
              <w:pStyle w:val="CDIFigure-Table-BodyTextCentre"/>
            </w:pPr>
          </w:p>
        </w:tc>
      </w:tr>
      <w:tr w:rsidR="007649F9" w:rsidRPr="00765689" w14:paraId="42C2DA29"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10D6F8E4" w14:textId="77777777" w:rsidR="00765689" w:rsidRPr="00765689" w:rsidRDefault="00765689" w:rsidP="008639D0">
            <w:pPr>
              <w:pStyle w:val="CDIFigure-Table-BodyTextLeft"/>
            </w:pPr>
          </w:p>
        </w:tc>
        <w:tc>
          <w:tcPr>
            <w:tcW w:w="907" w:type="dxa"/>
            <w:vMerge/>
            <w:tcBorders>
              <w:bottom w:val="single" w:sz="4" w:space="0" w:color="033636" w:themeColor="text2"/>
            </w:tcBorders>
          </w:tcPr>
          <w:p w14:paraId="221707EA" w14:textId="77777777" w:rsidR="00765689" w:rsidRPr="00765689" w:rsidRDefault="00765689" w:rsidP="00765689"/>
        </w:tc>
        <w:tc>
          <w:tcPr>
            <w:tcW w:w="4365" w:type="dxa"/>
            <w:tcBorders>
              <w:bottom w:val="single" w:sz="4" w:space="0" w:color="033636" w:themeColor="text2"/>
            </w:tcBorders>
            <w:tcMar>
              <w:top w:w="113" w:type="dxa"/>
              <w:left w:w="113" w:type="dxa"/>
              <w:bottom w:w="113" w:type="dxa"/>
              <w:right w:w="113" w:type="dxa"/>
            </w:tcMar>
            <w:vAlign w:val="center"/>
          </w:tcPr>
          <w:p w14:paraId="6897619D" w14:textId="77777777" w:rsidR="00765689" w:rsidRPr="00765689" w:rsidRDefault="00765689" w:rsidP="008639D0">
            <w:pPr>
              <w:pStyle w:val="CDIFigure-Table-BodyTextLeft"/>
            </w:pPr>
            <w:r w:rsidRPr="00765689">
              <w:t>B/Phuket/3073/2013-(B/Yamagata lineage) like virus</w:t>
            </w:r>
          </w:p>
        </w:tc>
        <w:tc>
          <w:tcPr>
            <w:tcW w:w="4252" w:type="dxa"/>
            <w:tcBorders>
              <w:bottom w:val="single" w:sz="4" w:space="0" w:color="033636" w:themeColor="text2"/>
            </w:tcBorders>
            <w:tcMar>
              <w:top w:w="113" w:type="dxa"/>
              <w:left w:w="113" w:type="dxa"/>
              <w:bottom w:w="113" w:type="dxa"/>
              <w:right w:w="113" w:type="dxa"/>
            </w:tcMar>
            <w:vAlign w:val="center"/>
          </w:tcPr>
          <w:p w14:paraId="1288BA6D" w14:textId="77777777" w:rsidR="00765689" w:rsidRPr="00765689" w:rsidRDefault="00765689" w:rsidP="008639D0">
            <w:pPr>
              <w:pStyle w:val="CDIFigure-Table-BodyTextLeft"/>
            </w:pPr>
            <w:r w:rsidRPr="00765689">
              <w:t>B/Phuket/3073/2013-like (B/Yamagata lineage) virus</w:t>
            </w:r>
          </w:p>
        </w:tc>
        <w:tc>
          <w:tcPr>
            <w:tcW w:w="1701" w:type="dxa"/>
            <w:tcBorders>
              <w:bottom w:val="single" w:sz="4" w:space="0" w:color="033636" w:themeColor="text2"/>
            </w:tcBorders>
            <w:tcMar>
              <w:top w:w="113" w:type="dxa"/>
              <w:left w:w="113" w:type="dxa"/>
              <w:bottom w:w="113" w:type="dxa"/>
              <w:right w:w="113" w:type="dxa"/>
            </w:tcMar>
            <w:vAlign w:val="center"/>
          </w:tcPr>
          <w:p w14:paraId="22649AC7" w14:textId="77777777" w:rsidR="00765689" w:rsidRPr="00765689" w:rsidRDefault="00765689" w:rsidP="008639D0">
            <w:pPr>
              <w:pStyle w:val="CDIFigure-Table-BodyTextLeft"/>
            </w:pPr>
          </w:p>
        </w:tc>
        <w:tc>
          <w:tcPr>
            <w:tcW w:w="1417" w:type="dxa"/>
            <w:vMerge/>
            <w:tcBorders>
              <w:bottom w:val="single" w:sz="4" w:space="0" w:color="033636" w:themeColor="text2"/>
            </w:tcBorders>
          </w:tcPr>
          <w:p w14:paraId="08927A18"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7662AE3A" w14:textId="77777777" w:rsidR="00765689" w:rsidRPr="00765689" w:rsidRDefault="00765689" w:rsidP="008639D0">
            <w:pPr>
              <w:pStyle w:val="CDIFigure-Table-BodyTextCentre"/>
            </w:pPr>
          </w:p>
        </w:tc>
      </w:tr>
      <w:tr w:rsidR="007649F9" w:rsidRPr="00765689" w14:paraId="179630D5" w14:textId="77777777" w:rsidTr="002655ED">
        <w:tblPrEx>
          <w:tblCellMar>
            <w:top w:w="0" w:type="dxa"/>
            <w:left w:w="0" w:type="dxa"/>
            <w:bottom w:w="0" w:type="dxa"/>
            <w:right w:w="0" w:type="dxa"/>
          </w:tblCellMar>
        </w:tblPrEx>
        <w:trPr>
          <w:trHeight w:val="20"/>
        </w:trPr>
        <w:tc>
          <w:tcPr>
            <w:tcW w:w="680"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83830BC" w14:textId="77777777" w:rsidR="00765689" w:rsidRPr="00765689" w:rsidRDefault="00765689" w:rsidP="008639D0">
            <w:pPr>
              <w:pStyle w:val="CDIFigure-Table-BodyTextLeft"/>
            </w:pPr>
            <w:r w:rsidRPr="00765689">
              <w:t>2021</w:t>
            </w:r>
            <w:r w:rsidRPr="008639D0">
              <w:rPr>
                <w:vertAlign w:val="superscript"/>
              </w:rPr>
              <w:t>c</w:t>
            </w:r>
          </w:p>
        </w:tc>
        <w:tc>
          <w:tcPr>
            <w:tcW w:w="90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2EB26DF8" w14:textId="77777777" w:rsidR="00765689" w:rsidRPr="00765689" w:rsidRDefault="00765689" w:rsidP="008639D0">
            <w:pPr>
              <w:pStyle w:val="CDIFigure-Table-BodyTextCentre"/>
            </w:pPr>
            <w:r w:rsidRPr="00765689">
              <w:t>120</w:t>
            </w:r>
          </w:p>
        </w:tc>
        <w:tc>
          <w:tcPr>
            <w:tcW w:w="4365" w:type="dxa"/>
            <w:tcBorders>
              <w:top w:val="single" w:sz="4" w:space="0" w:color="033636" w:themeColor="text2"/>
            </w:tcBorders>
            <w:tcMar>
              <w:top w:w="113" w:type="dxa"/>
              <w:left w:w="113" w:type="dxa"/>
              <w:bottom w:w="113" w:type="dxa"/>
              <w:right w:w="113" w:type="dxa"/>
            </w:tcMar>
            <w:vAlign w:val="center"/>
          </w:tcPr>
          <w:p w14:paraId="0E319C7D" w14:textId="77777777" w:rsidR="00765689" w:rsidRPr="00765689" w:rsidRDefault="00765689" w:rsidP="008639D0">
            <w:pPr>
              <w:pStyle w:val="CDIFigure-Table-BodyTextLeft"/>
            </w:pPr>
            <w:r w:rsidRPr="00765689">
              <w:t>A/Victoria/2570/2019 (H1N1)pdm09-like virus</w:t>
            </w:r>
          </w:p>
        </w:tc>
        <w:tc>
          <w:tcPr>
            <w:tcW w:w="4252" w:type="dxa"/>
            <w:tcBorders>
              <w:top w:val="single" w:sz="4" w:space="0" w:color="033636" w:themeColor="text2"/>
            </w:tcBorders>
            <w:tcMar>
              <w:top w:w="113" w:type="dxa"/>
              <w:left w:w="113" w:type="dxa"/>
              <w:bottom w:w="113" w:type="dxa"/>
              <w:right w:w="113" w:type="dxa"/>
            </w:tcMar>
            <w:vAlign w:val="center"/>
          </w:tcPr>
          <w:p w14:paraId="204D0F46" w14:textId="77777777" w:rsidR="00765689" w:rsidRPr="00765689" w:rsidRDefault="00765689" w:rsidP="008639D0">
            <w:pPr>
              <w:pStyle w:val="CDIFigure-Table-BodyTextLeft"/>
            </w:pPr>
            <w:r w:rsidRPr="00765689">
              <w:t>A/Victoria/2570/2019 (H1N1)pdm09-like virus</w:t>
            </w:r>
          </w:p>
        </w:tc>
        <w:tc>
          <w:tcPr>
            <w:tcW w:w="1701" w:type="dxa"/>
            <w:tcBorders>
              <w:top w:val="single" w:sz="4" w:space="0" w:color="033636" w:themeColor="text2"/>
            </w:tcBorders>
            <w:tcMar>
              <w:top w:w="113" w:type="dxa"/>
              <w:left w:w="113" w:type="dxa"/>
              <w:bottom w:w="113" w:type="dxa"/>
              <w:right w:w="113" w:type="dxa"/>
            </w:tcMar>
            <w:vAlign w:val="center"/>
          </w:tcPr>
          <w:p w14:paraId="474FBC2F" w14:textId="77777777" w:rsidR="00765689" w:rsidRPr="00765689" w:rsidRDefault="00765689" w:rsidP="008639D0">
            <w:pPr>
              <w:pStyle w:val="CDIFigure-Table-BodyTextLeft"/>
            </w:pPr>
            <w:r w:rsidRPr="00765689">
              <w:t>A(H1N1) pdm09</w:t>
            </w:r>
          </w:p>
        </w:tc>
        <w:tc>
          <w:tcPr>
            <w:tcW w:w="141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58F3230D" w14:textId="77777777" w:rsidR="00765689" w:rsidRPr="00765689" w:rsidRDefault="00765689" w:rsidP="008639D0">
            <w:pPr>
              <w:pStyle w:val="CDIFigure-Table-BodyTextCentre"/>
            </w:pPr>
            <w:r w:rsidRPr="00765689">
              <w:t xml:space="preserve">Not </w:t>
            </w:r>
            <w:proofErr w:type="spellStart"/>
            <w:r w:rsidRPr="00765689">
              <w:t>estimated</w:t>
            </w:r>
            <w:r w:rsidRPr="008639D0">
              <w:rPr>
                <w:vertAlign w:val="superscript"/>
              </w:rPr>
              <w:t>c</w:t>
            </w:r>
            <w:proofErr w:type="spellEnd"/>
          </w:p>
        </w:tc>
        <w:tc>
          <w:tcPr>
            <w:tcW w:w="1418"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02948A9C" w14:textId="77777777" w:rsidR="00765689" w:rsidRPr="00765689" w:rsidRDefault="00765689" w:rsidP="008639D0">
            <w:pPr>
              <w:pStyle w:val="CDIFigure-Table-BodyTextCentre"/>
            </w:pPr>
            <w:r w:rsidRPr="00765689">
              <w:t xml:space="preserve">Not </w:t>
            </w:r>
            <w:proofErr w:type="spellStart"/>
            <w:r w:rsidRPr="00765689">
              <w:t>estimated</w:t>
            </w:r>
            <w:r w:rsidRPr="008639D0">
              <w:rPr>
                <w:vertAlign w:val="superscript"/>
              </w:rPr>
              <w:t>c</w:t>
            </w:r>
            <w:proofErr w:type="spellEnd"/>
          </w:p>
        </w:tc>
      </w:tr>
      <w:tr w:rsidR="007649F9" w:rsidRPr="00765689" w14:paraId="0EEDD901"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77DC0AA8" w14:textId="77777777" w:rsidR="00765689" w:rsidRPr="00765689" w:rsidRDefault="00765689" w:rsidP="00765689"/>
        </w:tc>
        <w:tc>
          <w:tcPr>
            <w:tcW w:w="907" w:type="dxa"/>
            <w:vMerge/>
            <w:tcBorders>
              <w:bottom w:val="single" w:sz="4" w:space="0" w:color="033636" w:themeColor="text2"/>
            </w:tcBorders>
          </w:tcPr>
          <w:p w14:paraId="4F91D77A" w14:textId="77777777" w:rsidR="00765689" w:rsidRPr="00765689" w:rsidRDefault="00765689" w:rsidP="00765689"/>
        </w:tc>
        <w:tc>
          <w:tcPr>
            <w:tcW w:w="4365" w:type="dxa"/>
            <w:tcMar>
              <w:top w:w="113" w:type="dxa"/>
              <w:left w:w="113" w:type="dxa"/>
              <w:bottom w:w="113" w:type="dxa"/>
              <w:right w:w="113" w:type="dxa"/>
            </w:tcMar>
            <w:vAlign w:val="center"/>
          </w:tcPr>
          <w:p w14:paraId="29043452" w14:textId="77777777" w:rsidR="00765689" w:rsidRPr="00765689" w:rsidRDefault="00765689" w:rsidP="008639D0">
            <w:pPr>
              <w:pStyle w:val="CDIFigure-Table-BodyTextLeft"/>
            </w:pPr>
            <w:r w:rsidRPr="00765689">
              <w:t>A/Hong Kong/2671/2019 (H3N2)-like virus</w:t>
            </w:r>
          </w:p>
        </w:tc>
        <w:tc>
          <w:tcPr>
            <w:tcW w:w="4252" w:type="dxa"/>
            <w:tcMar>
              <w:top w:w="113" w:type="dxa"/>
              <w:left w:w="113" w:type="dxa"/>
              <w:bottom w:w="113" w:type="dxa"/>
              <w:right w:w="113" w:type="dxa"/>
            </w:tcMar>
            <w:vAlign w:val="center"/>
          </w:tcPr>
          <w:p w14:paraId="2157EED4" w14:textId="77777777" w:rsidR="00765689" w:rsidRPr="00765689" w:rsidRDefault="00765689" w:rsidP="008639D0">
            <w:pPr>
              <w:pStyle w:val="CDIFigure-Table-BodyTextLeft"/>
            </w:pPr>
            <w:r w:rsidRPr="00765689">
              <w:t>A/Hong Kong/2671/2019 (H3N2)-like virus</w:t>
            </w:r>
          </w:p>
        </w:tc>
        <w:tc>
          <w:tcPr>
            <w:tcW w:w="1701" w:type="dxa"/>
            <w:tcMar>
              <w:top w:w="113" w:type="dxa"/>
              <w:left w:w="113" w:type="dxa"/>
              <w:bottom w:w="113" w:type="dxa"/>
              <w:right w:w="113" w:type="dxa"/>
            </w:tcMar>
            <w:vAlign w:val="center"/>
          </w:tcPr>
          <w:p w14:paraId="457207F8" w14:textId="77777777" w:rsidR="00765689" w:rsidRPr="00765689" w:rsidRDefault="00765689" w:rsidP="008639D0">
            <w:pPr>
              <w:pStyle w:val="CDIFigure-Table-BodyTextLeft"/>
            </w:pPr>
            <w:r w:rsidRPr="00765689">
              <w:t>A(H3N2)</w:t>
            </w:r>
          </w:p>
        </w:tc>
        <w:tc>
          <w:tcPr>
            <w:tcW w:w="1417" w:type="dxa"/>
            <w:vMerge/>
            <w:tcBorders>
              <w:bottom w:val="single" w:sz="4" w:space="0" w:color="033636" w:themeColor="text2"/>
            </w:tcBorders>
          </w:tcPr>
          <w:p w14:paraId="42A87D7A"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54E276A1" w14:textId="77777777" w:rsidR="00765689" w:rsidRPr="00765689" w:rsidRDefault="00765689" w:rsidP="008639D0">
            <w:pPr>
              <w:pStyle w:val="CDIFigure-Table-BodyTextCentre"/>
            </w:pPr>
          </w:p>
        </w:tc>
      </w:tr>
      <w:tr w:rsidR="007649F9" w:rsidRPr="00765689" w14:paraId="3C9EC56F"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55AABF06" w14:textId="77777777" w:rsidR="00765689" w:rsidRPr="00765689" w:rsidRDefault="00765689" w:rsidP="00765689"/>
        </w:tc>
        <w:tc>
          <w:tcPr>
            <w:tcW w:w="907" w:type="dxa"/>
            <w:vMerge/>
            <w:tcBorders>
              <w:bottom w:val="single" w:sz="4" w:space="0" w:color="033636" w:themeColor="text2"/>
            </w:tcBorders>
          </w:tcPr>
          <w:p w14:paraId="126F23D9" w14:textId="77777777" w:rsidR="00765689" w:rsidRPr="00765689" w:rsidRDefault="00765689" w:rsidP="00765689"/>
        </w:tc>
        <w:tc>
          <w:tcPr>
            <w:tcW w:w="4365" w:type="dxa"/>
            <w:tcMar>
              <w:top w:w="113" w:type="dxa"/>
              <w:left w:w="113" w:type="dxa"/>
              <w:bottom w:w="113" w:type="dxa"/>
              <w:right w:w="113" w:type="dxa"/>
            </w:tcMar>
            <w:vAlign w:val="center"/>
          </w:tcPr>
          <w:p w14:paraId="4CBEE711" w14:textId="77777777" w:rsidR="00765689" w:rsidRPr="00765689" w:rsidRDefault="00765689" w:rsidP="008639D0">
            <w:pPr>
              <w:pStyle w:val="CDIFigure-Table-BodyTextLeft"/>
            </w:pPr>
            <w:r w:rsidRPr="00765689">
              <w:t>B/Washington/02/2019 (B/Victoria lineage)-like virus</w:t>
            </w:r>
          </w:p>
        </w:tc>
        <w:tc>
          <w:tcPr>
            <w:tcW w:w="4252" w:type="dxa"/>
            <w:tcMar>
              <w:top w:w="113" w:type="dxa"/>
              <w:left w:w="113" w:type="dxa"/>
              <w:bottom w:w="113" w:type="dxa"/>
              <w:right w:w="113" w:type="dxa"/>
            </w:tcMar>
            <w:vAlign w:val="center"/>
          </w:tcPr>
          <w:p w14:paraId="52B34999" w14:textId="77777777" w:rsidR="00765689" w:rsidRPr="00765689" w:rsidRDefault="00765689" w:rsidP="008639D0">
            <w:pPr>
              <w:pStyle w:val="CDIFigure-Table-BodyTextLeft"/>
            </w:pPr>
            <w:r w:rsidRPr="00765689">
              <w:t>B/Washington/02/2019 (B/Victoria lineage)-like virus</w:t>
            </w:r>
          </w:p>
        </w:tc>
        <w:tc>
          <w:tcPr>
            <w:tcW w:w="1701" w:type="dxa"/>
            <w:tcMar>
              <w:top w:w="113" w:type="dxa"/>
              <w:left w:w="113" w:type="dxa"/>
              <w:bottom w:w="113" w:type="dxa"/>
              <w:right w:w="113" w:type="dxa"/>
            </w:tcMar>
            <w:vAlign w:val="center"/>
          </w:tcPr>
          <w:p w14:paraId="431B44EE" w14:textId="77777777" w:rsidR="00765689" w:rsidRPr="00765689" w:rsidRDefault="00765689" w:rsidP="008639D0">
            <w:pPr>
              <w:pStyle w:val="CDIFigure-Table-BodyTextLeft"/>
            </w:pPr>
            <w:r w:rsidRPr="00765689">
              <w:t>B/Victoria lineage</w:t>
            </w:r>
          </w:p>
        </w:tc>
        <w:tc>
          <w:tcPr>
            <w:tcW w:w="1417" w:type="dxa"/>
            <w:vMerge/>
            <w:tcBorders>
              <w:bottom w:val="single" w:sz="4" w:space="0" w:color="033636" w:themeColor="text2"/>
            </w:tcBorders>
          </w:tcPr>
          <w:p w14:paraId="083029D8"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3AC1EC9B" w14:textId="77777777" w:rsidR="00765689" w:rsidRPr="00765689" w:rsidRDefault="00765689" w:rsidP="008639D0">
            <w:pPr>
              <w:pStyle w:val="CDIFigure-Table-BodyTextCentre"/>
            </w:pPr>
          </w:p>
        </w:tc>
      </w:tr>
      <w:tr w:rsidR="007649F9" w:rsidRPr="00765689" w14:paraId="5723C91F"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320905F9" w14:textId="77777777" w:rsidR="00765689" w:rsidRPr="00765689" w:rsidRDefault="00765689" w:rsidP="00765689"/>
        </w:tc>
        <w:tc>
          <w:tcPr>
            <w:tcW w:w="907" w:type="dxa"/>
            <w:vMerge/>
            <w:tcBorders>
              <w:bottom w:val="single" w:sz="4" w:space="0" w:color="033636" w:themeColor="text2"/>
            </w:tcBorders>
          </w:tcPr>
          <w:p w14:paraId="1F36E259" w14:textId="77777777" w:rsidR="00765689" w:rsidRPr="00765689" w:rsidRDefault="00765689" w:rsidP="00765689"/>
        </w:tc>
        <w:tc>
          <w:tcPr>
            <w:tcW w:w="4365" w:type="dxa"/>
            <w:tcBorders>
              <w:bottom w:val="single" w:sz="4" w:space="0" w:color="033636" w:themeColor="text2"/>
            </w:tcBorders>
            <w:tcMar>
              <w:top w:w="113" w:type="dxa"/>
              <w:left w:w="113" w:type="dxa"/>
              <w:bottom w:w="113" w:type="dxa"/>
              <w:right w:w="113" w:type="dxa"/>
            </w:tcMar>
            <w:vAlign w:val="center"/>
          </w:tcPr>
          <w:p w14:paraId="17962F59" w14:textId="77777777" w:rsidR="00765689" w:rsidRPr="00765689" w:rsidRDefault="00765689" w:rsidP="008639D0">
            <w:pPr>
              <w:pStyle w:val="CDIFigure-Table-BodyTextLeft"/>
            </w:pPr>
            <w:r w:rsidRPr="00765689">
              <w:t>B/Phuket/3073/2013 (B/Yamagata lineage)-like virus</w:t>
            </w:r>
          </w:p>
        </w:tc>
        <w:tc>
          <w:tcPr>
            <w:tcW w:w="4252" w:type="dxa"/>
            <w:tcBorders>
              <w:bottom w:val="single" w:sz="4" w:space="0" w:color="033636" w:themeColor="text2"/>
            </w:tcBorders>
            <w:tcMar>
              <w:top w:w="113" w:type="dxa"/>
              <w:left w:w="113" w:type="dxa"/>
              <w:bottom w:w="113" w:type="dxa"/>
              <w:right w:w="113" w:type="dxa"/>
            </w:tcMar>
            <w:vAlign w:val="center"/>
          </w:tcPr>
          <w:p w14:paraId="77A339F4" w14:textId="77777777" w:rsidR="00765689" w:rsidRPr="00765689" w:rsidRDefault="00765689" w:rsidP="008639D0">
            <w:pPr>
              <w:pStyle w:val="CDIFigure-Table-BodyTextLeft"/>
            </w:pPr>
            <w:r w:rsidRPr="00765689">
              <w:t>B/Phuket/3073/2013 (B/Yamagata lineage)-like virus</w:t>
            </w:r>
          </w:p>
        </w:tc>
        <w:tc>
          <w:tcPr>
            <w:tcW w:w="1701" w:type="dxa"/>
            <w:tcBorders>
              <w:bottom w:val="single" w:sz="4" w:space="0" w:color="033636" w:themeColor="text2"/>
            </w:tcBorders>
            <w:tcMar>
              <w:top w:w="113" w:type="dxa"/>
              <w:left w:w="113" w:type="dxa"/>
              <w:bottom w:w="113" w:type="dxa"/>
              <w:right w:w="113" w:type="dxa"/>
            </w:tcMar>
            <w:vAlign w:val="center"/>
          </w:tcPr>
          <w:p w14:paraId="4BF33090" w14:textId="77777777" w:rsidR="00765689" w:rsidRPr="00765689" w:rsidRDefault="00765689" w:rsidP="008639D0">
            <w:pPr>
              <w:pStyle w:val="CDIFigure-Table-BodyTextLeft"/>
            </w:pPr>
          </w:p>
        </w:tc>
        <w:tc>
          <w:tcPr>
            <w:tcW w:w="1417" w:type="dxa"/>
            <w:vMerge/>
            <w:tcBorders>
              <w:bottom w:val="single" w:sz="4" w:space="0" w:color="033636" w:themeColor="text2"/>
            </w:tcBorders>
          </w:tcPr>
          <w:p w14:paraId="4B9AE5F2"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10744265" w14:textId="77777777" w:rsidR="00765689" w:rsidRPr="00765689" w:rsidRDefault="00765689" w:rsidP="008639D0">
            <w:pPr>
              <w:pStyle w:val="CDIFigure-Table-BodyTextCentre"/>
            </w:pPr>
          </w:p>
        </w:tc>
      </w:tr>
      <w:tr w:rsidR="007649F9" w:rsidRPr="00765689" w14:paraId="150B967A" w14:textId="77777777" w:rsidTr="002655ED">
        <w:tblPrEx>
          <w:tblCellMar>
            <w:top w:w="0" w:type="dxa"/>
            <w:left w:w="0" w:type="dxa"/>
            <w:bottom w:w="0" w:type="dxa"/>
            <w:right w:w="0" w:type="dxa"/>
          </w:tblCellMar>
        </w:tblPrEx>
        <w:trPr>
          <w:trHeight w:val="20"/>
        </w:trPr>
        <w:tc>
          <w:tcPr>
            <w:tcW w:w="680"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2E79F74" w14:textId="77777777" w:rsidR="00765689" w:rsidRPr="00765689" w:rsidRDefault="00765689" w:rsidP="008639D0">
            <w:pPr>
              <w:pStyle w:val="CDIFigure-Table-BodyTextLeft"/>
            </w:pPr>
            <w:r w:rsidRPr="00765689">
              <w:t>2020</w:t>
            </w:r>
            <w:r w:rsidRPr="008639D0">
              <w:rPr>
                <w:vertAlign w:val="superscript"/>
              </w:rPr>
              <w:t>c</w:t>
            </w:r>
          </w:p>
        </w:tc>
        <w:tc>
          <w:tcPr>
            <w:tcW w:w="90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5ADCDBE9" w14:textId="77777777" w:rsidR="00765689" w:rsidRPr="00765689" w:rsidRDefault="00765689" w:rsidP="008639D0">
            <w:pPr>
              <w:pStyle w:val="CDIFigure-Table-BodyTextCentre"/>
            </w:pPr>
            <w:r w:rsidRPr="00765689">
              <w:t>121</w:t>
            </w:r>
          </w:p>
        </w:tc>
        <w:tc>
          <w:tcPr>
            <w:tcW w:w="4365" w:type="dxa"/>
            <w:tcBorders>
              <w:top w:val="single" w:sz="4" w:space="0" w:color="033636" w:themeColor="text2"/>
            </w:tcBorders>
            <w:tcMar>
              <w:top w:w="113" w:type="dxa"/>
              <w:left w:w="113" w:type="dxa"/>
              <w:bottom w:w="113" w:type="dxa"/>
              <w:right w:w="113" w:type="dxa"/>
            </w:tcMar>
            <w:vAlign w:val="center"/>
          </w:tcPr>
          <w:p w14:paraId="65ED7161" w14:textId="77777777" w:rsidR="00765689" w:rsidRPr="00765689" w:rsidRDefault="00765689" w:rsidP="008639D0">
            <w:pPr>
              <w:pStyle w:val="CDIFigure-Table-BodyTextLeft"/>
            </w:pPr>
            <w:r w:rsidRPr="00765689">
              <w:t>A/Brisbane/02/2018 (H1N1)pdm09-like virus</w:t>
            </w:r>
          </w:p>
        </w:tc>
        <w:tc>
          <w:tcPr>
            <w:tcW w:w="4252" w:type="dxa"/>
            <w:tcBorders>
              <w:top w:val="single" w:sz="4" w:space="0" w:color="033636" w:themeColor="text2"/>
            </w:tcBorders>
            <w:tcMar>
              <w:top w:w="113" w:type="dxa"/>
              <w:left w:w="113" w:type="dxa"/>
              <w:bottom w:w="113" w:type="dxa"/>
              <w:right w:w="113" w:type="dxa"/>
            </w:tcMar>
            <w:vAlign w:val="center"/>
          </w:tcPr>
          <w:p w14:paraId="61237A1E" w14:textId="77777777" w:rsidR="00765689" w:rsidRPr="00765689" w:rsidRDefault="00765689" w:rsidP="008639D0">
            <w:pPr>
              <w:pStyle w:val="CDIFigure-Table-BodyTextLeft"/>
            </w:pPr>
            <w:r w:rsidRPr="00765689">
              <w:t>A/Brisbane/02/2018 (H1N1)pdm09-like virus</w:t>
            </w:r>
          </w:p>
        </w:tc>
        <w:tc>
          <w:tcPr>
            <w:tcW w:w="1701" w:type="dxa"/>
            <w:tcBorders>
              <w:top w:val="single" w:sz="4" w:space="0" w:color="033636" w:themeColor="text2"/>
            </w:tcBorders>
            <w:tcMar>
              <w:top w:w="113" w:type="dxa"/>
              <w:left w:w="113" w:type="dxa"/>
              <w:bottom w:w="113" w:type="dxa"/>
              <w:right w:w="113" w:type="dxa"/>
            </w:tcMar>
            <w:vAlign w:val="center"/>
          </w:tcPr>
          <w:p w14:paraId="2910AF9C" w14:textId="77777777" w:rsidR="00765689" w:rsidRPr="00765689" w:rsidRDefault="00765689" w:rsidP="008639D0">
            <w:pPr>
              <w:pStyle w:val="CDIFigure-Table-BodyTextLeft"/>
            </w:pPr>
            <w:r w:rsidRPr="00765689">
              <w:t>A(H1N1) pdm09</w:t>
            </w:r>
          </w:p>
        </w:tc>
        <w:tc>
          <w:tcPr>
            <w:tcW w:w="141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002DBDEE" w14:textId="77777777" w:rsidR="00765689" w:rsidRPr="00765689" w:rsidRDefault="00765689" w:rsidP="008639D0">
            <w:pPr>
              <w:pStyle w:val="CDIFigure-Table-BodyTextCentre"/>
            </w:pPr>
            <w:r w:rsidRPr="00765689">
              <w:t xml:space="preserve">Not </w:t>
            </w:r>
            <w:proofErr w:type="spellStart"/>
            <w:r w:rsidRPr="00765689">
              <w:t>estimated</w:t>
            </w:r>
            <w:r w:rsidRPr="008639D0">
              <w:rPr>
                <w:vertAlign w:val="superscript"/>
              </w:rPr>
              <w:t>c</w:t>
            </w:r>
            <w:proofErr w:type="spellEnd"/>
          </w:p>
        </w:tc>
        <w:tc>
          <w:tcPr>
            <w:tcW w:w="1418"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75DC0729" w14:textId="77777777" w:rsidR="00765689" w:rsidRPr="00765689" w:rsidRDefault="00765689" w:rsidP="008639D0">
            <w:pPr>
              <w:pStyle w:val="CDIFigure-Table-BodyTextCentre"/>
            </w:pPr>
            <w:r w:rsidRPr="00765689">
              <w:t xml:space="preserve">Not </w:t>
            </w:r>
            <w:proofErr w:type="spellStart"/>
            <w:r w:rsidRPr="00765689">
              <w:t>estimated</w:t>
            </w:r>
            <w:r w:rsidRPr="008639D0">
              <w:rPr>
                <w:vertAlign w:val="superscript"/>
              </w:rPr>
              <w:t>c</w:t>
            </w:r>
            <w:proofErr w:type="spellEnd"/>
          </w:p>
        </w:tc>
      </w:tr>
      <w:tr w:rsidR="007649F9" w:rsidRPr="00765689" w14:paraId="57F99BDA"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78987B71" w14:textId="77777777" w:rsidR="00765689" w:rsidRPr="00765689" w:rsidRDefault="00765689" w:rsidP="00765689"/>
        </w:tc>
        <w:tc>
          <w:tcPr>
            <w:tcW w:w="907" w:type="dxa"/>
            <w:vMerge/>
            <w:tcBorders>
              <w:bottom w:val="single" w:sz="4" w:space="0" w:color="033636" w:themeColor="text2"/>
            </w:tcBorders>
          </w:tcPr>
          <w:p w14:paraId="0CC495F1" w14:textId="77777777" w:rsidR="00765689" w:rsidRPr="00765689" w:rsidRDefault="00765689" w:rsidP="00765689"/>
        </w:tc>
        <w:tc>
          <w:tcPr>
            <w:tcW w:w="4365" w:type="dxa"/>
            <w:tcMar>
              <w:top w:w="113" w:type="dxa"/>
              <w:left w:w="113" w:type="dxa"/>
              <w:bottom w:w="113" w:type="dxa"/>
              <w:right w:w="113" w:type="dxa"/>
            </w:tcMar>
            <w:vAlign w:val="center"/>
          </w:tcPr>
          <w:p w14:paraId="6CB8E3A3" w14:textId="77777777" w:rsidR="00765689" w:rsidRPr="00765689" w:rsidRDefault="00765689" w:rsidP="008639D0">
            <w:pPr>
              <w:pStyle w:val="CDIFigure-Table-BodyTextLeft"/>
            </w:pPr>
            <w:r w:rsidRPr="00765689">
              <w:t>A/South Australia/34/2019 (H3N2)-like virus</w:t>
            </w:r>
          </w:p>
        </w:tc>
        <w:tc>
          <w:tcPr>
            <w:tcW w:w="4252" w:type="dxa"/>
            <w:tcMar>
              <w:top w:w="113" w:type="dxa"/>
              <w:left w:w="113" w:type="dxa"/>
              <w:bottom w:w="113" w:type="dxa"/>
              <w:right w:w="113" w:type="dxa"/>
            </w:tcMar>
            <w:vAlign w:val="center"/>
          </w:tcPr>
          <w:p w14:paraId="0C01E10D" w14:textId="77777777" w:rsidR="00765689" w:rsidRPr="00765689" w:rsidRDefault="00765689" w:rsidP="008639D0">
            <w:pPr>
              <w:pStyle w:val="CDIFigure-Table-BodyTextLeft"/>
            </w:pPr>
            <w:r w:rsidRPr="00765689">
              <w:t>A/South Australia/34/2019 (H3N2)-like virus</w:t>
            </w:r>
          </w:p>
        </w:tc>
        <w:tc>
          <w:tcPr>
            <w:tcW w:w="1701" w:type="dxa"/>
            <w:tcMar>
              <w:top w:w="113" w:type="dxa"/>
              <w:left w:w="113" w:type="dxa"/>
              <w:bottom w:w="113" w:type="dxa"/>
              <w:right w:w="113" w:type="dxa"/>
            </w:tcMar>
            <w:vAlign w:val="center"/>
          </w:tcPr>
          <w:p w14:paraId="3F235483" w14:textId="77777777" w:rsidR="00765689" w:rsidRPr="00765689" w:rsidRDefault="00765689" w:rsidP="008639D0">
            <w:pPr>
              <w:pStyle w:val="CDIFigure-Table-BodyTextLeft"/>
            </w:pPr>
            <w:r w:rsidRPr="00765689">
              <w:t>A(H3N2)</w:t>
            </w:r>
          </w:p>
        </w:tc>
        <w:tc>
          <w:tcPr>
            <w:tcW w:w="1417" w:type="dxa"/>
            <w:vMerge/>
            <w:tcBorders>
              <w:bottom w:val="single" w:sz="4" w:space="0" w:color="033636" w:themeColor="text2"/>
            </w:tcBorders>
          </w:tcPr>
          <w:p w14:paraId="496E068C" w14:textId="77777777" w:rsidR="00765689" w:rsidRPr="00765689" w:rsidRDefault="00765689" w:rsidP="00765689"/>
        </w:tc>
        <w:tc>
          <w:tcPr>
            <w:tcW w:w="1418" w:type="dxa"/>
            <w:vMerge/>
            <w:tcBorders>
              <w:bottom w:val="single" w:sz="4" w:space="0" w:color="033636" w:themeColor="text2"/>
            </w:tcBorders>
          </w:tcPr>
          <w:p w14:paraId="1CFE0459" w14:textId="77777777" w:rsidR="00765689" w:rsidRPr="00765689" w:rsidRDefault="00765689" w:rsidP="00765689"/>
        </w:tc>
      </w:tr>
      <w:tr w:rsidR="007649F9" w:rsidRPr="00765689" w14:paraId="3B948C0A"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1DDCEC04" w14:textId="77777777" w:rsidR="00765689" w:rsidRPr="00765689" w:rsidRDefault="00765689" w:rsidP="00765689"/>
        </w:tc>
        <w:tc>
          <w:tcPr>
            <w:tcW w:w="907" w:type="dxa"/>
            <w:vMerge/>
            <w:tcBorders>
              <w:bottom w:val="single" w:sz="4" w:space="0" w:color="033636" w:themeColor="text2"/>
            </w:tcBorders>
          </w:tcPr>
          <w:p w14:paraId="3F57058F" w14:textId="77777777" w:rsidR="00765689" w:rsidRPr="00765689" w:rsidRDefault="00765689" w:rsidP="00765689"/>
        </w:tc>
        <w:tc>
          <w:tcPr>
            <w:tcW w:w="4365" w:type="dxa"/>
            <w:tcMar>
              <w:top w:w="113" w:type="dxa"/>
              <w:left w:w="113" w:type="dxa"/>
              <w:bottom w:w="113" w:type="dxa"/>
              <w:right w:w="113" w:type="dxa"/>
            </w:tcMar>
            <w:vAlign w:val="center"/>
          </w:tcPr>
          <w:p w14:paraId="087D09F5" w14:textId="77777777" w:rsidR="00765689" w:rsidRPr="00765689" w:rsidRDefault="00765689" w:rsidP="008639D0">
            <w:pPr>
              <w:pStyle w:val="CDIFigure-Table-BodyTextLeft"/>
            </w:pPr>
            <w:r w:rsidRPr="00765689">
              <w:t>B/Washington/02/2019-like (B/Victoria lineage) virus</w:t>
            </w:r>
          </w:p>
        </w:tc>
        <w:tc>
          <w:tcPr>
            <w:tcW w:w="4252" w:type="dxa"/>
            <w:tcMar>
              <w:top w:w="113" w:type="dxa"/>
              <w:left w:w="113" w:type="dxa"/>
              <w:bottom w:w="113" w:type="dxa"/>
              <w:right w:w="113" w:type="dxa"/>
            </w:tcMar>
            <w:vAlign w:val="center"/>
          </w:tcPr>
          <w:p w14:paraId="3FF3A8A9" w14:textId="77777777" w:rsidR="00765689" w:rsidRPr="00765689" w:rsidRDefault="00765689" w:rsidP="008639D0">
            <w:pPr>
              <w:pStyle w:val="CDIFigure-Table-BodyTextLeft"/>
            </w:pPr>
            <w:r w:rsidRPr="00765689">
              <w:t>B/Washington/02/2019-like (B/Victoria lineage) virus</w:t>
            </w:r>
          </w:p>
        </w:tc>
        <w:tc>
          <w:tcPr>
            <w:tcW w:w="1701" w:type="dxa"/>
            <w:tcMar>
              <w:top w:w="113" w:type="dxa"/>
              <w:left w:w="113" w:type="dxa"/>
              <w:bottom w:w="113" w:type="dxa"/>
              <w:right w:w="113" w:type="dxa"/>
            </w:tcMar>
            <w:vAlign w:val="center"/>
          </w:tcPr>
          <w:p w14:paraId="019A3F21" w14:textId="77777777" w:rsidR="00765689" w:rsidRPr="00765689" w:rsidRDefault="00765689" w:rsidP="008639D0">
            <w:pPr>
              <w:pStyle w:val="CDIFigure-Table-BodyTextLeft"/>
            </w:pPr>
            <w:r w:rsidRPr="00765689">
              <w:t>B/Victoria lineage</w:t>
            </w:r>
          </w:p>
        </w:tc>
        <w:tc>
          <w:tcPr>
            <w:tcW w:w="1417" w:type="dxa"/>
            <w:vMerge/>
            <w:tcBorders>
              <w:bottom w:val="single" w:sz="4" w:space="0" w:color="033636" w:themeColor="text2"/>
            </w:tcBorders>
          </w:tcPr>
          <w:p w14:paraId="15747F67" w14:textId="77777777" w:rsidR="00765689" w:rsidRPr="00765689" w:rsidRDefault="00765689" w:rsidP="00765689"/>
        </w:tc>
        <w:tc>
          <w:tcPr>
            <w:tcW w:w="1418" w:type="dxa"/>
            <w:vMerge/>
            <w:tcBorders>
              <w:bottom w:val="single" w:sz="4" w:space="0" w:color="033636" w:themeColor="text2"/>
            </w:tcBorders>
          </w:tcPr>
          <w:p w14:paraId="31483E8E" w14:textId="77777777" w:rsidR="00765689" w:rsidRPr="00765689" w:rsidRDefault="00765689" w:rsidP="00765689"/>
        </w:tc>
      </w:tr>
      <w:tr w:rsidR="007649F9" w:rsidRPr="00765689" w14:paraId="373A2851"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4CCD318A" w14:textId="77777777" w:rsidR="00765689" w:rsidRPr="00765689" w:rsidRDefault="00765689" w:rsidP="00765689"/>
        </w:tc>
        <w:tc>
          <w:tcPr>
            <w:tcW w:w="907" w:type="dxa"/>
            <w:vMerge/>
            <w:tcBorders>
              <w:bottom w:val="single" w:sz="4" w:space="0" w:color="033636" w:themeColor="text2"/>
            </w:tcBorders>
          </w:tcPr>
          <w:p w14:paraId="76F24B74" w14:textId="77777777" w:rsidR="00765689" w:rsidRPr="00765689" w:rsidRDefault="00765689" w:rsidP="00765689"/>
        </w:tc>
        <w:tc>
          <w:tcPr>
            <w:tcW w:w="4365" w:type="dxa"/>
            <w:tcBorders>
              <w:bottom w:val="single" w:sz="4" w:space="0" w:color="033636" w:themeColor="text2"/>
            </w:tcBorders>
            <w:tcMar>
              <w:top w:w="113" w:type="dxa"/>
              <w:left w:w="113" w:type="dxa"/>
              <w:bottom w:w="113" w:type="dxa"/>
              <w:right w:w="113" w:type="dxa"/>
            </w:tcMar>
            <w:vAlign w:val="center"/>
          </w:tcPr>
          <w:p w14:paraId="4845968E" w14:textId="77777777" w:rsidR="00765689" w:rsidRPr="00765689" w:rsidRDefault="00765689" w:rsidP="008639D0">
            <w:pPr>
              <w:pStyle w:val="CDIFigure-Table-BodyTextLeft"/>
            </w:pPr>
            <w:r w:rsidRPr="00765689">
              <w:t>B/Phuket/3073/2013-like (B/Yamagata lineage) virus</w:t>
            </w:r>
          </w:p>
        </w:tc>
        <w:tc>
          <w:tcPr>
            <w:tcW w:w="4252" w:type="dxa"/>
            <w:tcBorders>
              <w:bottom w:val="single" w:sz="4" w:space="0" w:color="033636" w:themeColor="text2"/>
            </w:tcBorders>
            <w:tcMar>
              <w:top w:w="113" w:type="dxa"/>
              <w:left w:w="113" w:type="dxa"/>
              <w:bottom w:w="113" w:type="dxa"/>
              <w:right w:w="113" w:type="dxa"/>
            </w:tcMar>
            <w:vAlign w:val="center"/>
          </w:tcPr>
          <w:p w14:paraId="30AD9157" w14:textId="77777777" w:rsidR="00765689" w:rsidRPr="00765689" w:rsidRDefault="00765689" w:rsidP="008639D0">
            <w:pPr>
              <w:pStyle w:val="CDIFigure-Table-BodyTextLeft"/>
            </w:pPr>
          </w:p>
        </w:tc>
        <w:tc>
          <w:tcPr>
            <w:tcW w:w="1701" w:type="dxa"/>
            <w:tcBorders>
              <w:bottom w:val="single" w:sz="4" w:space="0" w:color="033636" w:themeColor="text2"/>
            </w:tcBorders>
            <w:tcMar>
              <w:top w:w="113" w:type="dxa"/>
              <w:left w:w="113" w:type="dxa"/>
              <w:bottom w:w="113" w:type="dxa"/>
              <w:right w:w="113" w:type="dxa"/>
            </w:tcMar>
            <w:vAlign w:val="center"/>
          </w:tcPr>
          <w:p w14:paraId="0DAD8296" w14:textId="77777777" w:rsidR="00765689" w:rsidRPr="00765689" w:rsidRDefault="00765689" w:rsidP="008639D0">
            <w:pPr>
              <w:pStyle w:val="CDIFigure-Table-BodyTextLeft"/>
            </w:pPr>
            <w:r w:rsidRPr="00765689">
              <w:t>B/Yamagata lineage</w:t>
            </w:r>
          </w:p>
        </w:tc>
        <w:tc>
          <w:tcPr>
            <w:tcW w:w="1417" w:type="dxa"/>
            <w:vMerge/>
            <w:tcBorders>
              <w:bottom w:val="single" w:sz="4" w:space="0" w:color="033636" w:themeColor="text2"/>
            </w:tcBorders>
          </w:tcPr>
          <w:p w14:paraId="54776F03" w14:textId="77777777" w:rsidR="00765689" w:rsidRPr="00765689" w:rsidRDefault="00765689" w:rsidP="00765689"/>
        </w:tc>
        <w:tc>
          <w:tcPr>
            <w:tcW w:w="1418" w:type="dxa"/>
            <w:vMerge/>
            <w:tcBorders>
              <w:bottom w:val="single" w:sz="4" w:space="0" w:color="033636" w:themeColor="text2"/>
            </w:tcBorders>
          </w:tcPr>
          <w:p w14:paraId="04EA9A9D" w14:textId="77777777" w:rsidR="00765689" w:rsidRPr="00765689" w:rsidRDefault="00765689" w:rsidP="00765689"/>
        </w:tc>
      </w:tr>
      <w:tr w:rsidR="002655ED" w:rsidRPr="00765689" w14:paraId="44B45669" w14:textId="77777777" w:rsidTr="002655ED">
        <w:tblPrEx>
          <w:tblCellMar>
            <w:top w:w="0" w:type="dxa"/>
            <w:left w:w="0" w:type="dxa"/>
            <w:bottom w:w="0" w:type="dxa"/>
            <w:right w:w="0" w:type="dxa"/>
          </w:tblCellMar>
        </w:tblPrEx>
        <w:trPr>
          <w:trHeight w:val="20"/>
        </w:trPr>
        <w:tc>
          <w:tcPr>
            <w:tcW w:w="680"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D297681" w14:textId="77777777" w:rsidR="002655ED" w:rsidRPr="00765689" w:rsidRDefault="002655ED" w:rsidP="002655ED">
            <w:pPr>
              <w:pStyle w:val="CDIFigure-Table-BodyTextLeft"/>
              <w:keepNext/>
              <w:keepLines/>
            </w:pPr>
            <w:r w:rsidRPr="00765689">
              <w:lastRenderedPageBreak/>
              <w:t>2019</w:t>
            </w:r>
          </w:p>
        </w:tc>
        <w:tc>
          <w:tcPr>
            <w:tcW w:w="907" w:type="dxa"/>
            <w:vMerge w:val="restart"/>
            <w:tcBorders>
              <w:top w:val="single" w:sz="4" w:space="0" w:color="033636" w:themeColor="text2"/>
            </w:tcBorders>
            <w:tcMar>
              <w:top w:w="113" w:type="dxa"/>
              <w:left w:w="113" w:type="dxa"/>
              <w:bottom w:w="113" w:type="dxa"/>
              <w:right w:w="113" w:type="dxa"/>
            </w:tcMar>
            <w:vAlign w:val="center"/>
          </w:tcPr>
          <w:p w14:paraId="4AB40CDA" w14:textId="00893CA0" w:rsidR="002655ED" w:rsidRPr="00765689" w:rsidRDefault="002655ED" w:rsidP="002655ED">
            <w:pPr>
              <w:pStyle w:val="CDIFigure-Table-BodyTextCentre"/>
              <w:keepNext/>
              <w:keepLines/>
            </w:pPr>
            <w:r w:rsidRPr="00765689">
              <w:t>18</w:t>
            </w:r>
            <w:r>
              <w:br/>
            </w:r>
            <w:r w:rsidRPr="00765689">
              <w:t>122–124</w:t>
            </w:r>
          </w:p>
        </w:tc>
        <w:tc>
          <w:tcPr>
            <w:tcW w:w="4365" w:type="dxa"/>
            <w:tcBorders>
              <w:top w:val="single" w:sz="4" w:space="0" w:color="033636" w:themeColor="text2"/>
            </w:tcBorders>
            <w:tcMar>
              <w:top w:w="113" w:type="dxa"/>
              <w:left w:w="113" w:type="dxa"/>
              <w:bottom w:w="113" w:type="dxa"/>
              <w:right w:w="113" w:type="dxa"/>
            </w:tcMar>
            <w:vAlign w:val="center"/>
          </w:tcPr>
          <w:p w14:paraId="785DE6CD" w14:textId="77777777" w:rsidR="002655ED" w:rsidRPr="00765689" w:rsidRDefault="002655ED" w:rsidP="002655ED">
            <w:pPr>
              <w:pStyle w:val="CDIFigure-Table-BodyTextLeft"/>
              <w:keepNext/>
              <w:keepLines/>
            </w:pPr>
            <w:r w:rsidRPr="00765689">
              <w:t>A/Michigan/45/2015 (H1N1)pdm09-like virus</w:t>
            </w:r>
          </w:p>
        </w:tc>
        <w:tc>
          <w:tcPr>
            <w:tcW w:w="4252" w:type="dxa"/>
            <w:tcBorders>
              <w:top w:val="single" w:sz="4" w:space="0" w:color="033636" w:themeColor="text2"/>
            </w:tcBorders>
            <w:tcMar>
              <w:top w:w="113" w:type="dxa"/>
              <w:left w:w="113" w:type="dxa"/>
              <w:bottom w:w="113" w:type="dxa"/>
              <w:right w:w="113" w:type="dxa"/>
            </w:tcMar>
            <w:vAlign w:val="center"/>
          </w:tcPr>
          <w:p w14:paraId="456C3DFC" w14:textId="77777777" w:rsidR="002655ED" w:rsidRPr="00765689" w:rsidRDefault="002655ED" w:rsidP="002655ED">
            <w:pPr>
              <w:pStyle w:val="CDIFigure-Table-BodyTextLeft"/>
              <w:keepNext/>
              <w:keepLines/>
            </w:pPr>
            <w:r w:rsidRPr="00765689">
              <w:t>A/Michigan/45/2015 (H1N1)pdm09-like virus</w:t>
            </w:r>
          </w:p>
        </w:tc>
        <w:tc>
          <w:tcPr>
            <w:tcW w:w="1701" w:type="dxa"/>
            <w:tcBorders>
              <w:top w:val="single" w:sz="4" w:space="0" w:color="033636" w:themeColor="text2"/>
            </w:tcBorders>
            <w:tcMar>
              <w:top w:w="113" w:type="dxa"/>
              <w:left w:w="113" w:type="dxa"/>
              <w:bottom w:w="113" w:type="dxa"/>
              <w:right w:w="113" w:type="dxa"/>
            </w:tcMar>
            <w:vAlign w:val="center"/>
          </w:tcPr>
          <w:p w14:paraId="6492BB98" w14:textId="77777777" w:rsidR="002655ED" w:rsidRPr="00765689" w:rsidRDefault="002655ED" w:rsidP="002655ED">
            <w:pPr>
              <w:pStyle w:val="CDIFigure-Table-BodyTextLeft"/>
              <w:keepNext/>
              <w:keepLines/>
            </w:pPr>
            <w:r w:rsidRPr="00765689">
              <w:t>A(H1N1) pdm09</w:t>
            </w:r>
          </w:p>
        </w:tc>
        <w:tc>
          <w:tcPr>
            <w:tcW w:w="141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6C33A842" w14:textId="77777777" w:rsidR="002655ED" w:rsidRPr="00765689" w:rsidRDefault="002655ED" w:rsidP="008639D0">
            <w:pPr>
              <w:pStyle w:val="CDIFigure-Table-BodyTextCentre"/>
            </w:pPr>
            <w:r w:rsidRPr="00765689">
              <w:t>42% (36–49%)</w:t>
            </w:r>
          </w:p>
        </w:tc>
        <w:tc>
          <w:tcPr>
            <w:tcW w:w="1418"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14CAD75A" w14:textId="77777777" w:rsidR="002655ED" w:rsidRPr="00765689" w:rsidRDefault="002655ED" w:rsidP="008639D0">
            <w:pPr>
              <w:pStyle w:val="CDIFigure-Table-BodyTextCentre"/>
            </w:pPr>
            <w:r w:rsidRPr="00765689">
              <w:t>46% (36–55%)</w:t>
            </w:r>
          </w:p>
        </w:tc>
      </w:tr>
      <w:tr w:rsidR="002655ED" w:rsidRPr="00765689" w14:paraId="1023CFCA" w14:textId="77777777" w:rsidTr="002655ED">
        <w:tblPrEx>
          <w:tblCellMar>
            <w:top w:w="0" w:type="dxa"/>
            <w:left w:w="0" w:type="dxa"/>
            <w:bottom w:w="0" w:type="dxa"/>
            <w:right w:w="0" w:type="dxa"/>
          </w:tblCellMar>
        </w:tblPrEx>
        <w:trPr>
          <w:trHeight w:val="20"/>
        </w:trPr>
        <w:tc>
          <w:tcPr>
            <w:tcW w:w="680" w:type="dxa"/>
            <w:vMerge/>
            <w:shd w:val="clear" w:color="auto" w:fill="C5FFEF" w:themeFill="background2" w:themeFillTint="33"/>
          </w:tcPr>
          <w:p w14:paraId="5563D542" w14:textId="77777777" w:rsidR="002655ED" w:rsidRPr="00765689" w:rsidRDefault="002655ED" w:rsidP="002655ED">
            <w:pPr>
              <w:pStyle w:val="CDIFigure-Table-BodyTextLeft"/>
              <w:keepNext/>
              <w:keepLines/>
            </w:pPr>
          </w:p>
        </w:tc>
        <w:tc>
          <w:tcPr>
            <w:tcW w:w="907" w:type="dxa"/>
            <w:vMerge/>
          </w:tcPr>
          <w:p w14:paraId="71F91A04" w14:textId="77777777" w:rsidR="002655ED" w:rsidRPr="00765689" w:rsidRDefault="002655ED" w:rsidP="002655ED">
            <w:pPr>
              <w:pStyle w:val="CDIFigure-Table-BodyTextCentre"/>
              <w:keepNext/>
              <w:keepLines/>
            </w:pPr>
          </w:p>
        </w:tc>
        <w:tc>
          <w:tcPr>
            <w:tcW w:w="4365" w:type="dxa"/>
            <w:tcMar>
              <w:top w:w="113" w:type="dxa"/>
              <w:left w:w="113" w:type="dxa"/>
              <w:bottom w:w="113" w:type="dxa"/>
              <w:right w:w="113" w:type="dxa"/>
            </w:tcMar>
            <w:vAlign w:val="center"/>
          </w:tcPr>
          <w:p w14:paraId="7C6811DF" w14:textId="77777777" w:rsidR="002655ED" w:rsidRPr="00765689" w:rsidRDefault="002655ED" w:rsidP="002655ED">
            <w:pPr>
              <w:pStyle w:val="CDIFigure-Table-BodyTextLeft"/>
              <w:keepNext/>
              <w:keepLines/>
            </w:pPr>
            <w:r w:rsidRPr="00765689">
              <w:t>A/Switzerland/8060/2017 (H3N2)-like virus</w:t>
            </w:r>
          </w:p>
        </w:tc>
        <w:tc>
          <w:tcPr>
            <w:tcW w:w="4252" w:type="dxa"/>
            <w:tcMar>
              <w:top w:w="113" w:type="dxa"/>
              <w:left w:w="113" w:type="dxa"/>
              <w:bottom w:w="113" w:type="dxa"/>
              <w:right w:w="113" w:type="dxa"/>
            </w:tcMar>
            <w:vAlign w:val="center"/>
          </w:tcPr>
          <w:p w14:paraId="3F82931F" w14:textId="77777777" w:rsidR="002655ED" w:rsidRPr="00765689" w:rsidRDefault="002655ED" w:rsidP="002655ED">
            <w:pPr>
              <w:pStyle w:val="CDIFigure-Table-BodyTextLeft"/>
              <w:keepNext/>
              <w:keepLines/>
            </w:pPr>
            <w:r w:rsidRPr="00765689">
              <w:t>A/Switzerland/8060/2017 (H3N2)-like virus</w:t>
            </w:r>
          </w:p>
        </w:tc>
        <w:tc>
          <w:tcPr>
            <w:tcW w:w="1701" w:type="dxa"/>
            <w:tcMar>
              <w:top w:w="113" w:type="dxa"/>
              <w:left w:w="113" w:type="dxa"/>
              <w:bottom w:w="113" w:type="dxa"/>
              <w:right w:w="113" w:type="dxa"/>
            </w:tcMar>
            <w:vAlign w:val="center"/>
          </w:tcPr>
          <w:p w14:paraId="0F52D086" w14:textId="77777777" w:rsidR="002655ED" w:rsidRPr="002655ED" w:rsidRDefault="002655ED" w:rsidP="002655ED">
            <w:pPr>
              <w:pStyle w:val="CDIFigure-Table-BodyTextLeft"/>
              <w:keepNext/>
              <w:keepLines/>
              <w:rPr>
                <w:b/>
                <w:bCs/>
              </w:rPr>
            </w:pPr>
            <w:r w:rsidRPr="002655ED">
              <w:rPr>
                <w:b/>
                <w:bCs/>
              </w:rPr>
              <w:t>A(H3N2)</w:t>
            </w:r>
          </w:p>
        </w:tc>
        <w:tc>
          <w:tcPr>
            <w:tcW w:w="1417" w:type="dxa"/>
            <w:vMerge/>
            <w:tcBorders>
              <w:bottom w:val="single" w:sz="4" w:space="0" w:color="033636" w:themeColor="text2"/>
            </w:tcBorders>
          </w:tcPr>
          <w:p w14:paraId="77166A5C" w14:textId="77777777" w:rsidR="002655ED" w:rsidRPr="00765689" w:rsidRDefault="002655ED" w:rsidP="008639D0">
            <w:pPr>
              <w:pStyle w:val="CDIFigure-Table-BodyTextCentre"/>
            </w:pPr>
          </w:p>
        </w:tc>
        <w:tc>
          <w:tcPr>
            <w:tcW w:w="1418" w:type="dxa"/>
            <w:vMerge/>
            <w:tcBorders>
              <w:bottom w:val="single" w:sz="4" w:space="0" w:color="033636" w:themeColor="text2"/>
            </w:tcBorders>
          </w:tcPr>
          <w:p w14:paraId="31FB48C7" w14:textId="77777777" w:rsidR="002655ED" w:rsidRPr="00765689" w:rsidRDefault="002655ED" w:rsidP="008639D0">
            <w:pPr>
              <w:pStyle w:val="CDIFigure-Table-BodyTextCentre"/>
            </w:pPr>
          </w:p>
        </w:tc>
      </w:tr>
      <w:tr w:rsidR="002655ED" w:rsidRPr="00765689" w14:paraId="2855CD89" w14:textId="77777777" w:rsidTr="002655ED">
        <w:tblPrEx>
          <w:tblCellMar>
            <w:top w:w="0" w:type="dxa"/>
            <w:left w:w="0" w:type="dxa"/>
            <w:bottom w:w="0" w:type="dxa"/>
            <w:right w:w="0" w:type="dxa"/>
          </w:tblCellMar>
        </w:tblPrEx>
        <w:trPr>
          <w:trHeight w:val="20"/>
        </w:trPr>
        <w:tc>
          <w:tcPr>
            <w:tcW w:w="680" w:type="dxa"/>
            <w:vMerge/>
            <w:shd w:val="clear" w:color="auto" w:fill="C5FFEF" w:themeFill="background2" w:themeFillTint="33"/>
          </w:tcPr>
          <w:p w14:paraId="48E73586" w14:textId="77777777" w:rsidR="002655ED" w:rsidRPr="00765689" w:rsidRDefault="002655ED" w:rsidP="002655ED">
            <w:pPr>
              <w:pStyle w:val="CDIFigure-Table-BodyTextLeft"/>
              <w:keepNext/>
              <w:keepLines/>
            </w:pPr>
          </w:p>
        </w:tc>
        <w:tc>
          <w:tcPr>
            <w:tcW w:w="907" w:type="dxa"/>
            <w:vMerge/>
          </w:tcPr>
          <w:p w14:paraId="68FD37E9" w14:textId="77777777" w:rsidR="002655ED" w:rsidRPr="00765689" w:rsidRDefault="002655ED" w:rsidP="002655ED">
            <w:pPr>
              <w:pStyle w:val="CDIFigure-Table-BodyTextCentre"/>
              <w:keepNext/>
              <w:keepLines/>
            </w:pPr>
          </w:p>
        </w:tc>
        <w:tc>
          <w:tcPr>
            <w:tcW w:w="4365" w:type="dxa"/>
            <w:tcMar>
              <w:top w:w="113" w:type="dxa"/>
              <w:left w:w="113" w:type="dxa"/>
              <w:bottom w:w="113" w:type="dxa"/>
              <w:right w:w="113" w:type="dxa"/>
            </w:tcMar>
            <w:vAlign w:val="center"/>
          </w:tcPr>
          <w:p w14:paraId="5556C481" w14:textId="77777777" w:rsidR="002655ED" w:rsidRPr="00765689" w:rsidRDefault="002655ED" w:rsidP="002655ED">
            <w:pPr>
              <w:pStyle w:val="CDIFigure-Table-BodyTextLeft"/>
              <w:keepNext/>
              <w:keepLines/>
            </w:pPr>
            <w:r w:rsidRPr="00765689">
              <w:t>B/Colorado/06/2017-like virus (B/Victoria/2/87 lineage)</w:t>
            </w:r>
          </w:p>
        </w:tc>
        <w:tc>
          <w:tcPr>
            <w:tcW w:w="4252" w:type="dxa"/>
            <w:tcMar>
              <w:top w:w="113" w:type="dxa"/>
              <w:left w:w="113" w:type="dxa"/>
              <w:bottom w:w="113" w:type="dxa"/>
              <w:right w:w="113" w:type="dxa"/>
            </w:tcMar>
            <w:vAlign w:val="center"/>
          </w:tcPr>
          <w:p w14:paraId="7CBD610D" w14:textId="77777777" w:rsidR="002655ED" w:rsidRPr="00765689" w:rsidRDefault="002655ED" w:rsidP="002655ED">
            <w:pPr>
              <w:pStyle w:val="CDIFigure-Table-BodyTextLeft"/>
              <w:keepNext/>
              <w:keepLines/>
            </w:pPr>
          </w:p>
        </w:tc>
        <w:tc>
          <w:tcPr>
            <w:tcW w:w="1701" w:type="dxa"/>
            <w:tcMar>
              <w:top w:w="113" w:type="dxa"/>
              <w:left w:w="113" w:type="dxa"/>
              <w:bottom w:w="113" w:type="dxa"/>
              <w:right w:w="113" w:type="dxa"/>
            </w:tcMar>
            <w:vAlign w:val="center"/>
          </w:tcPr>
          <w:p w14:paraId="084127E9" w14:textId="77777777" w:rsidR="002655ED" w:rsidRPr="00765689" w:rsidRDefault="002655ED" w:rsidP="002655ED">
            <w:pPr>
              <w:pStyle w:val="CDIFigure-Table-BodyTextLeft"/>
              <w:keepNext/>
              <w:keepLines/>
            </w:pPr>
            <w:r w:rsidRPr="00765689">
              <w:t>B/Victoria lineage</w:t>
            </w:r>
          </w:p>
        </w:tc>
        <w:tc>
          <w:tcPr>
            <w:tcW w:w="1417" w:type="dxa"/>
            <w:vMerge/>
            <w:tcBorders>
              <w:bottom w:val="single" w:sz="4" w:space="0" w:color="033636" w:themeColor="text2"/>
            </w:tcBorders>
          </w:tcPr>
          <w:p w14:paraId="46A4D69B" w14:textId="77777777" w:rsidR="002655ED" w:rsidRPr="00765689" w:rsidRDefault="002655ED" w:rsidP="008639D0">
            <w:pPr>
              <w:pStyle w:val="CDIFigure-Table-BodyTextCentre"/>
            </w:pPr>
          </w:p>
        </w:tc>
        <w:tc>
          <w:tcPr>
            <w:tcW w:w="1418" w:type="dxa"/>
            <w:vMerge/>
            <w:tcBorders>
              <w:bottom w:val="single" w:sz="4" w:space="0" w:color="033636" w:themeColor="text2"/>
            </w:tcBorders>
          </w:tcPr>
          <w:p w14:paraId="3CC9E4A8" w14:textId="77777777" w:rsidR="002655ED" w:rsidRPr="00765689" w:rsidRDefault="002655ED" w:rsidP="008639D0">
            <w:pPr>
              <w:pStyle w:val="CDIFigure-Table-BodyTextCentre"/>
            </w:pPr>
          </w:p>
        </w:tc>
      </w:tr>
      <w:tr w:rsidR="002655ED" w:rsidRPr="00765689" w14:paraId="2D0B0D91"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7EBAC5B3" w14:textId="77777777" w:rsidR="002655ED" w:rsidRPr="00765689" w:rsidRDefault="002655ED" w:rsidP="002655ED">
            <w:pPr>
              <w:pStyle w:val="CDIFigure-Table-BodyTextLeft"/>
              <w:keepNext/>
              <w:keepLines/>
            </w:pPr>
          </w:p>
        </w:tc>
        <w:tc>
          <w:tcPr>
            <w:tcW w:w="907" w:type="dxa"/>
            <w:vMerge/>
            <w:tcBorders>
              <w:bottom w:val="single" w:sz="4" w:space="0" w:color="033636" w:themeColor="text2"/>
            </w:tcBorders>
          </w:tcPr>
          <w:p w14:paraId="5E3F686D" w14:textId="77777777" w:rsidR="002655ED" w:rsidRPr="00765689" w:rsidRDefault="002655ED" w:rsidP="002655ED">
            <w:pPr>
              <w:pStyle w:val="CDIFigure-Table-BodyTextCentre"/>
              <w:keepNext/>
              <w:keepLines/>
            </w:pPr>
          </w:p>
        </w:tc>
        <w:tc>
          <w:tcPr>
            <w:tcW w:w="4365" w:type="dxa"/>
            <w:tcBorders>
              <w:bottom w:val="single" w:sz="4" w:space="0" w:color="033636" w:themeColor="text2"/>
            </w:tcBorders>
            <w:tcMar>
              <w:top w:w="113" w:type="dxa"/>
              <w:left w:w="113" w:type="dxa"/>
              <w:bottom w:w="113" w:type="dxa"/>
              <w:right w:w="113" w:type="dxa"/>
            </w:tcMar>
            <w:vAlign w:val="center"/>
          </w:tcPr>
          <w:p w14:paraId="4195F5F0" w14:textId="77777777" w:rsidR="002655ED" w:rsidRPr="00765689" w:rsidRDefault="002655ED" w:rsidP="002655ED">
            <w:pPr>
              <w:pStyle w:val="CDIFigure-Table-BodyTextLeft"/>
              <w:keepNext/>
              <w:keepLines/>
            </w:pPr>
            <w:r w:rsidRPr="00765689">
              <w:t>B/Phuket/3073/2013-like virus (B/Yamagata/16/88 lineage)</w:t>
            </w:r>
          </w:p>
        </w:tc>
        <w:tc>
          <w:tcPr>
            <w:tcW w:w="4252" w:type="dxa"/>
            <w:tcBorders>
              <w:bottom w:val="single" w:sz="4" w:space="0" w:color="033636" w:themeColor="text2"/>
            </w:tcBorders>
            <w:tcMar>
              <w:top w:w="113" w:type="dxa"/>
              <w:left w:w="113" w:type="dxa"/>
              <w:bottom w:w="113" w:type="dxa"/>
              <w:right w:w="113" w:type="dxa"/>
            </w:tcMar>
            <w:vAlign w:val="center"/>
          </w:tcPr>
          <w:p w14:paraId="3108D7F2" w14:textId="77777777" w:rsidR="002655ED" w:rsidRPr="00765689" w:rsidRDefault="002655ED" w:rsidP="002655ED">
            <w:pPr>
              <w:pStyle w:val="CDIFigure-Table-BodyTextLeft"/>
              <w:keepNext/>
              <w:keepLines/>
            </w:pPr>
            <w:r w:rsidRPr="00765689">
              <w:t>B/Phuket/3073/2013-like (B/Yamagata/16/88 lineage)</w:t>
            </w:r>
          </w:p>
        </w:tc>
        <w:tc>
          <w:tcPr>
            <w:tcW w:w="1701" w:type="dxa"/>
            <w:tcBorders>
              <w:bottom w:val="single" w:sz="4" w:space="0" w:color="033636" w:themeColor="text2"/>
            </w:tcBorders>
            <w:tcMar>
              <w:top w:w="113" w:type="dxa"/>
              <w:left w:w="113" w:type="dxa"/>
              <w:bottom w:w="113" w:type="dxa"/>
              <w:right w:w="113" w:type="dxa"/>
            </w:tcMar>
            <w:vAlign w:val="center"/>
          </w:tcPr>
          <w:p w14:paraId="3B513E00" w14:textId="77777777" w:rsidR="002655ED" w:rsidRPr="00765689" w:rsidRDefault="002655ED" w:rsidP="002655ED">
            <w:pPr>
              <w:pStyle w:val="CDIFigure-Table-BodyTextLeft"/>
              <w:keepNext/>
              <w:keepLines/>
            </w:pPr>
            <w:r w:rsidRPr="00765689">
              <w:t>B/Yamagata lineage</w:t>
            </w:r>
          </w:p>
        </w:tc>
        <w:tc>
          <w:tcPr>
            <w:tcW w:w="1417" w:type="dxa"/>
            <w:vMerge/>
            <w:tcBorders>
              <w:bottom w:val="single" w:sz="4" w:space="0" w:color="033636" w:themeColor="text2"/>
            </w:tcBorders>
          </w:tcPr>
          <w:p w14:paraId="36C44CBC" w14:textId="77777777" w:rsidR="002655ED" w:rsidRPr="00765689" w:rsidRDefault="002655ED" w:rsidP="008639D0">
            <w:pPr>
              <w:pStyle w:val="CDIFigure-Table-BodyTextCentre"/>
            </w:pPr>
          </w:p>
        </w:tc>
        <w:tc>
          <w:tcPr>
            <w:tcW w:w="1418" w:type="dxa"/>
            <w:vMerge/>
            <w:tcBorders>
              <w:bottom w:val="single" w:sz="4" w:space="0" w:color="033636" w:themeColor="text2"/>
            </w:tcBorders>
          </w:tcPr>
          <w:p w14:paraId="23C08DC2" w14:textId="77777777" w:rsidR="002655ED" w:rsidRPr="00765689" w:rsidRDefault="002655ED" w:rsidP="008639D0">
            <w:pPr>
              <w:pStyle w:val="CDIFigure-Table-BodyTextCentre"/>
            </w:pPr>
          </w:p>
        </w:tc>
      </w:tr>
      <w:tr w:rsidR="007649F9" w:rsidRPr="00765689" w14:paraId="46AA0674" w14:textId="77777777" w:rsidTr="002655ED">
        <w:tblPrEx>
          <w:tblCellMar>
            <w:top w:w="0" w:type="dxa"/>
            <w:left w:w="0" w:type="dxa"/>
            <w:bottom w:w="0" w:type="dxa"/>
            <w:right w:w="0" w:type="dxa"/>
          </w:tblCellMar>
        </w:tblPrEx>
        <w:trPr>
          <w:trHeight w:val="20"/>
        </w:trPr>
        <w:tc>
          <w:tcPr>
            <w:tcW w:w="680"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C142F19" w14:textId="77777777" w:rsidR="00765689" w:rsidRPr="00765689" w:rsidRDefault="00765689" w:rsidP="008639D0">
            <w:pPr>
              <w:pStyle w:val="CDIFigure-Table-BodyTextLeft"/>
            </w:pPr>
            <w:r w:rsidRPr="00765689">
              <w:t>2018</w:t>
            </w:r>
          </w:p>
        </w:tc>
        <w:tc>
          <w:tcPr>
            <w:tcW w:w="90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4D5F8721" w14:textId="77777777" w:rsidR="00765689" w:rsidRPr="00765689" w:rsidRDefault="00765689" w:rsidP="008639D0">
            <w:pPr>
              <w:pStyle w:val="CDIFigure-Table-BodyTextCentre"/>
            </w:pPr>
            <w:r w:rsidRPr="00765689">
              <w:t>19</w:t>
            </w:r>
            <w:r w:rsidRPr="00765689">
              <w:br/>
              <w:t>125</w:t>
            </w:r>
            <w:r w:rsidRPr="00765689">
              <w:br/>
              <w:t>126</w:t>
            </w:r>
          </w:p>
        </w:tc>
        <w:tc>
          <w:tcPr>
            <w:tcW w:w="4365" w:type="dxa"/>
            <w:tcBorders>
              <w:top w:val="single" w:sz="4" w:space="0" w:color="033636" w:themeColor="text2"/>
            </w:tcBorders>
            <w:tcMar>
              <w:top w:w="113" w:type="dxa"/>
              <w:left w:w="113" w:type="dxa"/>
              <w:bottom w:w="113" w:type="dxa"/>
              <w:right w:w="113" w:type="dxa"/>
            </w:tcMar>
            <w:vAlign w:val="center"/>
          </w:tcPr>
          <w:p w14:paraId="64CFEDE7" w14:textId="77777777" w:rsidR="00765689" w:rsidRPr="00765689" w:rsidRDefault="00765689" w:rsidP="008639D0">
            <w:pPr>
              <w:pStyle w:val="CDIFigure-Table-BodyTextLeft"/>
            </w:pPr>
            <w:r w:rsidRPr="00765689">
              <w:t>A/Michigan/45/2015 (H1N1)pdm09-like virus</w:t>
            </w:r>
          </w:p>
        </w:tc>
        <w:tc>
          <w:tcPr>
            <w:tcW w:w="4252" w:type="dxa"/>
            <w:tcBorders>
              <w:top w:val="single" w:sz="4" w:space="0" w:color="033636" w:themeColor="text2"/>
            </w:tcBorders>
            <w:tcMar>
              <w:top w:w="113" w:type="dxa"/>
              <w:left w:w="113" w:type="dxa"/>
              <w:bottom w:w="113" w:type="dxa"/>
              <w:right w:w="113" w:type="dxa"/>
            </w:tcMar>
            <w:vAlign w:val="center"/>
          </w:tcPr>
          <w:p w14:paraId="17E6ACDC" w14:textId="77777777" w:rsidR="00765689" w:rsidRPr="00765689" w:rsidRDefault="00765689" w:rsidP="008639D0">
            <w:pPr>
              <w:pStyle w:val="CDIFigure-Table-BodyTextLeft"/>
            </w:pPr>
            <w:r w:rsidRPr="00765689">
              <w:t>A/Michigan/45/2015 (H1N1)pdm09-like virus</w:t>
            </w:r>
          </w:p>
        </w:tc>
        <w:tc>
          <w:tcPr>
            <w:tcW w:w="1701" w:type="dxa"/>
            <w:tcBorders>
              <w:top w:val="single" w:sz="4" w:space="0" w:color="033636" w:themeColor="text2"/>
            </w:tcBorders>
            <w:tcMar>
              <w:top w:w="113" w:type="dxa"/>
              <w:left w:w="113" w:type="dxa"/>
              <w:bottom w:w="113" w:type="dxa"/>
              <w:right w:w="113" w:type="dxa"/>
            </w:tcMar>
            <w:vAlign w:val="center"/>
          </w:tcPr>
          <w:p w14:paraId="078223A8" w14:textId="77777777" w:rsidR="00765689" w:rsidRPr="00544964" w:rsidRDefault="00765689" w:rsidP="008639D0">
            <w:pPr>
              <w:pStyle w:val="CDIFigure-Table-BodyTextLeft"/>
              <w:rPr>
                <w:b/>
                <w:bCs/>
              </w:rPr>
            </w:pPr>
            <w:r w:rsidRPr="00544964">
              <w:rPr>
                <w:b/>
                <w:bCs/>
              </w:rPr>
              <w:t>A(H1N1) pdm09</w:t>
            </w:r>
          </w:p>
        </w:tc>
        <w:tc>
          <w:tcPr>
            <w:tcW w:w="141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269E8C32" w14:textId="77777777" w:rsidR="00765689" w:rsidRPr="00765689" w:rsidRDefault="00765689" w:rsidP="008639D0">
            <w:pPr>
              <w:pStyle w:val="CDIFigure-Table-BodyTextCentre"/>
            </w:pPr>
            <w:r w:rsidRPr="00765689">
              <w:t>52% (37–63%)</w:t>
            </w:r>
          </w:p>
        </w:tc>
        <w:tc>
          <w:tcPr>
            <w:tcW w:w="1418"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2B751B6E" w14:textId="77777777" w:rsidR="00765689" w:rsidRPr="00765689" w:rsidRDefault="00765689" w:rsidP="008639D0">
            <w:pPr>
              <w:pStyle w:val="CDIFigure-Table-BodyTextCentre"/>
            </w:pPr>
            <w:r w:rsidRPr="00765689">
              <w:t>68% (45–82%)</w:t>
            </w:r>
          </w:p>
        </w:tc>
      </w:tr>
      <w:tr w:rsidR="007649F9" w:rsidRPr="00765689" w14:paraId="0B79A4E6"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03C67287" w14:textId="77777777" w:rsidR="00765689" w:rsidRPr="00765689" w:rsidRDefault="00765689" w:rsidP="00765689"/>
        </w:tc>
        <w:tc>
          <w:tcPr>
            <w:tcW w:w="907" w:type="dxa"/>
            <w:vMerge/>
            <w:tcBorders>
              <w:bottom w:val="single" w:sz="4" w:space="0" w:color="033636" w:themeColor="text2"/>
            </w:tcBorders>
          </w:tcPr>
          <w:p w14:paraId="6F24451C" w14:textId="77777777" w:rsidR="00765689" w:rsidRPr="00765689" w:rsidRDefault="00765689" w:rsidP="00765689"/>
        </w:tc>
        <w:tc>
          <w:tcPr>
            <w:tcW w:w="4365" w:type="dxa"/>
            <w:tcMar>
              <w:top w:w="113" w:type="dxa"/>
              <w:left w:w="113" w:type="dxa"/>
              <w:bottom w:w="113" w:type="dxa"/>
              <w:right w:w="113" w:type="dxa"/>
            </w:tcMar>
            <w:vAlign w:val="center"/>
          </w:tcPr>
          <w:p w14:paraId="5D7C397B" w14:textId="77777777" w:rsidR="00765689" w:rsidRPr="00765689" w:rsidRDefault="00765689" w:rsidP="008639D0">
            <w:pPr>
              <w:pStyle w:val="CDIFigure-Table-BodyTextLeft"/>
            </w:pPr>
            <w:r w:rsidRPr="00765689">
              <w:t>A/Singapore/INFIMH-16-0019/2016 (H3N2)-like virus</w:t>
            </w:r>
          </w:p>
        </w:tc>
        <w:tc>
          <w:tcPr>
            <w:tcW w:w="4252" w:type="dxa"/>
            <w:tcMar>
              <w:top w:w="113" w:type="dxa"/>
              <w:left w:w="113" w:type="dxa"/>
              <w:bottom w:w="113" w:type="dxa"/>
              <w:right w:w="113" w:type="dxa"/>
            </w:tcMar>
            <w:vAlign w:val="center"/>
          </w:tcPr>
          <w:p w14:paraId="01B61CB2" w14:textId="77777777" w:rsidR="00765689" w:rsidRPr="00765689" w:rsidRDefault="00765689" w:rsidP="008639D0">
            <w:pPr>
              <w:pStyle w:val="CDIFigure-Table-BodyTextLeft"/>
            </w:pPr>
            <w:r w:rsidRPr="00765689">
              <w:t>A/Singapore/INFIMH-16-0019/2016 (H3N2)-like virus</w:t>
            </w:r>
          </w:p>
        </w:tc>
        <w:tc>
          <w:tcPr>
            <w:tcW w:w="1701" w:type="dxa"/>
            <w:tcMar>
              <w:top w:w="113" w:type="dxa"/>
              <w:left w:w="113" w:type="dxa"/>
              <w:bottom w:w="113" w:type="dxa"/>
              <w:right w:w="113" w:type="dxa"/>
            </w:tcMar>
            <w:vAlign w:val="center"/>
          </w:tcPr>
          <w:p w14:paraId="4277998D" w14:textId="77777777" w:rsidR="00765689" w:rsidRPr="00765689" w:rsidRDefault="00765689" w:rsidP="008639D0">
            <w:pPr>
              <w:pStyle w:val="CDIFigure-Table-BodyTextLeft"/>
            </w:pPr>
            <w:r w:rsidRPr="00765689">
              <w:t>A(H3N2)</w:t>
            </w:r>
          </w:p>
        </w:tc>
        <w:tc>
          <w:tcPr>
            <w:tcW w:w="1417" w:type="dxa"/>
            <w:vMerge/>
            <w:tcBorders>
              <w:bottom w:val="single" w:sz="4" w:space="0" w:color="033636" w:themeColor="text2"/>
            </w:tcBorders>
          </w:tcPr>
          <w:p w14:paraId="014A9B9B"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26404A93" w14:textId="77777777" w:rsidR="00765689" w:rsidRPr="00765689" w:rsidRDefault="00765689" w:rsidP="008639D0">
            <w:pPr>
              <w:pStyle w:val="CDIFigure-Table-BodyTextCentre"/>
            </w:pPr>
          </w:p>
        </w:tc>
      </w:tr>
      <w:tr w:rsidR="007649F9" w:rsidRPr="00765689" w14:paraId="5AF0B0BE"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54B7D313" w14:textId="77777777" w:rsidR="00765689" w:rsidRPr="00765689" w:rsidRDefault="00765689" w:rsidP="00765689"/>
        </w:tc>
        <w:tc>
          <w:tcPr>
            <w:tcW w:w="907" w:type="dxa"/>
            <w:vMerge/>
            <w:tcBorders>
              <w:bottom w:val="single" w:sz="4" w:space="0" w:color="033636" w:themeColor="text2"/>
            </w:tcBorders>
          </w:tcPr>
          <w:p w14:paraId="2B2954FC" w14:textId="77777777" w:rsidR="00765689" w:rsidRPr="00765689" w:rsidRDefault="00765689" w:rsidP="00765689"/>
        </w:tc>
        <w:tc>
          <w:tcPr>
            <w:tcW w:w="4365" w:type="dxa"/>
            <w:tcMar>
              <w:top w:w="113" w:type="dxa"/>
              <w:left w:w="113" w:type="dxa"/>
              <w:bottom w:w="113" w:type="dxa"/>
              <w:right w:w="113" w:type="dxa"/>
            </w:tcMar>
            <w:vAlign w:val="center"/>
          </w:tcPr>
          <w:p w14:paraId="6BAE17DE" w14:textId="77777777" w:rsidR="00765689" w:rsidRPr="00765689" w:rsidRDefault="00765689" w:rsidP="008639D0">
            <w:pPr>
              <w:pStyle w:val="CDIFigure-Table-BodyTextLeft"/>
            </w:pPr>
            <w:r w:rsidRPr="00765689">
              <w:t>B/Phuket/3073/2013-like virus</w:t>
            </w:r>
          </w:p>
        </w:tc>
        <w:tc>
          <w:tcPr>
            <w:tcW w:w="4252" w:type="dxa"/>
            <w:tcMar>
              <w:top w:w="113" w:type="dxa"/>
              <w:left w:w="113" w:type="dxa"/>
              <w:bottom w:w="113" w:type="dxa"/>
              <w:right w:w="113" w:type="dxa"/>
            </w:tcMar>
            <w:vAlign w:val="center"/>
          </w:tcPr>
          <w:p w14:paraId="10D69510" w14:textId="77777777" w:rsidR="00765689" w:rsidRPr="00765689" w:rsidRDefault="00765689" w:rsidP="008639D0">
            <w:pPr>
              <w:pStyle w:val="CDIFigure-Table-BodyTextLeft"/>
            </w:pPr>
          </w:p>
        </w:tc>
        <w:tc>
          <w:tcPr>
            <w:tcW w:w="1701" w:type="dxa"/>
            <w:tcMar>
              <w:top w:w="113" w:type="dxa"/>
              <w:left w:w="113" w:type="dxa"/>
              <w:bottom w:w="113" w:type="dxa"/>
              <w:right w:w="113" w:type="dxa"/>
            </w:tcMar>
            <w:vAlign w:val="center"/>
          </w:tcPr>
          <w:p w14:paraId="13215291" w14:textId="77777777" w:rsidR="00765689" w:rsidRPr="00765689" w:rsidRDefault="00765689" w:rsidP="008639D0">
            <w:pPr>
              <w:pStyle w:val="CDIFigure-Table-BodyTextLeft"/>
            </w:pPr>
            <w:r w:rsidRPr="00765689">
              <w:t>B/Victoria lineage</w:t>
            </w:r>
          </w:p>
        </w:tc>
        <w:tc>
          <w:tcPr>
            <w:tcW w:w="1417" w:type="dxa"/>
            <w:vMerge/>
            <w:tcBorders>
              <w:bottom w:val="single" w:sz="4" w:space="0" w:color="033636" w:themeColor="text2"/>
            </w:tcBorders>
          </w:tcPr>
          <w:p w14:paraId="006950A8"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6347F78C" w14:textId="77777777" w:rsidR="00765689" w:rsidRPr="00765689" w:rsidRDefault="00765689" w:rsidP="008639D0">
            <w:pPr>
              <w:pStyle w:val="CDIFigure-Table-BodyTextCentre"/>
            </w:pPr>
          </w:p>
        </w:tc>
      </w:tr>
      <w:tr w:rsidR="007649F9" w:rsidRPr="00765689" w14:paraId="7E98BA13"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5EB94D0D" w14:textId="77777777" w:rsidR="00765689" w:rsidRPr="00765689" w:rsidRDefault="00765689" w:rsidP="00765689"/>
        </w:tc>
        <w:tc>
          <w:tcPr>
            <w:tcW w:w="907" w:type="dxa"/>
            <w:vMerge/>
            <w:tcBorders>
              <w:bottom w:val="single" w:sz="4" w:space="0" w:color="033636" w:themeColor="text2"/>
            </w:tcBorders>
          </w:tcPr>
          <w:p w14:paraId="05CDD85F" w14:textId="77777777" w:rsidR="00765689" w:rsidRPr="00765689" w:rsidRDefault="00765689" w:rsidP="00765689"/>
        </w:tc>
        <w:tc>
          <w:tcPr>
            <w:tcW w:w="4365" w:type="dxa"/>
            <w:tcBorders>
              <w:bottom w:val="single" w:sz="4" w:space="0" w:color="033636" w:themeColor="text2"/>
            </w:tcBorders>
            <w:tcMar>
              <w:top w:w="113" w:type="dxa"/>
              <w:left w:w="113" w:type="dxa"/>
              <w:bottom w:w="113" w:type="dxa"/>
              <w:right w:w="113" w:type="dxa"/>
            </w:tcMar>
            <w:vAlign w:val="center"/>
          </w:tcPr>
          <w:p w14:paraId="44F27686" w14:textId="77777777" w:rsidR="00765689" w:rsidRPr="00765689" w:rsidRDefault="00765689" w:rsidP="008639D0">
            <w:pPr>
              <w:pStyle w:val="CDIFigure-Table-BodyTextLeft"/>
            </w:pPr>
            <w:r w:rsidRPr="00765689">
              <w:t>B/Brisbane/60/2008-like virus</w:t>
            </w:r>
          </w:p>
        </w:tc>
        <w:tc>
          <w:tcPr>
            <w:tcW w:w="4252" w:type="dxa"/>
            <w:tcBorders>
              <w:bottom w:val="single" w:sz="4" w:space="0" w:color="033636" w:themeColor="text2"/>
            </w:tcBorders>
            <w:tcMar>
              <w:top w:w="113" w:type="dxa"/>
              <w:left w:w="113" w:type="dxa"/>
              <w:bottom w:w="113" w:type="dxa"/>
              <w:right w:w="113" w:type="dxa"/>
            </w:tcMar>
            <w:vAlign w:val="center"/>
          </w:tcPr>
          <w:p w14:paraId="24B9CD7F" w14:textId="77777777" w:rsidR="00765689" w:rsidRPr="00765689" w:rsidRDefault="00765689" w:rsidP="008639D0">
            <w:pPr>
              <w:pStyle w:val="CDIFigure-Table-BodyTextLeft"/>
            </w:pPr>
            <w:r w:rsidRPr="00765689">
              <w:t>B/Phuket/3073/2013-like virus</w:t>
            </w:r>
          </w:p>
        </w:tc>
        <w:tc>
          <w:tcPr>
            <w:tcW w:w="1701" w:type="dxa"/>
            <w:tcBorders>
              <w:bottom w:val="single" w:sz="4" w:space="0" w:color="033636" w:themeColor="text2"/>
            </w:tcBorders>
            <w:tcMar>
              <w:top w:w="113" w:type="dxa"/>
              <w:left w:w="113" w:type="dxa"/>
              <w:bottom w:w="113" w:type="dxa"/>
              <w:right w:w="113" w:type="dxa"/>
            </w:tcMar>
            <w:vAlign w:val="center"/>
          </w:tcPr>
          <w:p w14:paraId="070D3A50" w14:textId="77777777" w:rsidR="00765689" w:rsidRPr="00765689" w:rsidRDefault="00765689" w:rsidP="008639D0">
            <w:pPr>
              <w:pStyle w:val="CDIFigure-Table-BodyTextLeft"/>
            </w:pPr>
            <w:r w:rsidRPr="00765689">
              <w:t>B/Yamagata lineage</w:t>
            </w:r>
          </w:p>
        </w:tc>
        <w:tc>
          <w:tcPr>
            <w:tcW w:w="1417" w:type="dxa"/>
            <w:vMerge/>
            <w:tcBorders>
              <w:bottom w:val="single" w:sz="4" w:space="0" w:color="033636" w:themeColor="text2"/>
            </w:tcBorders>
          </w:tcPr>
          <w:p w14:paraId="2182B2E1" w14:textId="77777777" w:rsidR="00765689" w:rsidRPr="00765689" w:rsidRDefault="00765689" w:rsidP="008639D0">
            <w:pPr>
              <w:pStyle w:val="CDIFigure-Table-BodyTextCentre"/>
            </w:pPr>
          </w:p>
        </w:tc>
        <w:tc>
          <w:tcPr>
            <w:tcW w:w="1418" w:type="dxa"/>
            <w:vMerge/>
            <w:tcBorders>
              <w:bottom w:val="single" w:sz="4" w:space="0" w:color="033636" w:themeColor="text2"/>
            </w:tcBorders>
          </w:tcPr>
          <w:p w14:paraId="2E1534D6" w14:textId="77777777" w:rsidR="00765689" w:rsidRPr="00765689" w:rsidRDefault="00765689" w:rsidP="008639D0">
            <w:pPr>
              <w:pStyle w:val="CDIFigure-Table-BodyTextCentre"/>
            </w:pPr>
          </w:p>
        </w:tc>
      </w:tr>
      <w:tr w:rsidR="00544964" w:rsidRPr="00765689" w14:paraId="5C07294F" w14:textId="77777777" w:rsidTr="002655ED">
        <w:tblPrEx>
          <w:tblCellMar>
            <w:top w:w="0" w:type="dxa"/>
            <w:left w:w="0" w:type="dxa"/>
            <w:bottom w:w="0" w:type="dxa"/>
            <w:right w:w="0" w:type="dxa"/>
          </w:tblCellMar>
        </w:tblPrEx>
        <w:trPr>
          <w:trHeight w:val="20"/>
        </w:trPr>
        <w:tc>
          <w:tcPr>
            <w:tcW w:w="680"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4275DEB" w14:textId="77777777" w:rsidR="00544964" w:rsidRPr="00765689" w:rsidRDefault="00544964" w:rsidP="008639D0">
            <w:pPr>
              <w:pStyle w:val="CDIFigure-Table-BodyTextLeft"/>
            </w:pPr>
            <w:r w:rsidRPr="00765689">
              <w:t>2017</w:t>
            </w:r>
          </w:p>
        </w:tc>
        <w:tc>
          <w:tcPr>
            <w:tcW w:w="90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354AD351" w14:textId="6BA0CA10" w:rsidR="00544964" w:rsidRPr="00765689" w:rsidRDefault="00544964" w:rsidP="008639D0">
            <w:pPr>
              <w:pStyle w:val="CDIFigure-Table-BodyTextCentre"/>
            </w:pPr>
            <w:r w:rsidRPr="00765689">
              <w:t>88</w:t>
            </w:r>
            <w:r>
              <w:br/>
            </w:r>
            <w:r w:rsidRPr="00765689">
              <w:t>127–129</w:t>
            </w:r>
          </w:p>
        </w:tc>
        <w:tc>
          <w:tcPr>
            <w:tcW w:w="4365" w:type="dxa"/>
            <w:tcBorders>
              <w:top w:val="single" w:sz="4" w:space="0" w:color="033636" w:themeColor="text2"/>
            </w:tcBorders>
            <w:tcMar>
              <w:top w:w="113" w:type="dxa"/>
              <w:left w:w="113" w:type="dxa"/>
              <w:bottom w:w="113" w:type="dxa"/>
              <w:right w:w="113" w:type="dxa"/>
            </w:tcMar>
            <w:vAlign w:val="center"/>
          </w:tcPr>
          <w:p w14:paraId="1299A731" w14:textId="77777777" w:rsidR="00544964" w:rsidRPr="00765689" w:rsidRDefault="00544964" w:rsidP="008639D0">
            <w:pPr>
              <w:pStyle w:val="CDIFigure-Table-BodyTextLeft"/>
            </w:pPr>
            <w:r w:rsidRPr="00765689">
              <w:t>A/Michigan/45/2015 (H1N1)pdm09-like virus</w:t>
            </w:r>
          </w:p>
        </w:tc>
        <w:tc>
          <w:tcPr>
            <w:tcW w:w="4252" w:type="dxa"/>
            <w:vMerge w:val="restart"/>
            <w:tcBorders>
              <w:top w:val="single" w:sz="4" w:space="0" w:color="033636" w:themeColor="text2"/>
            </w:tcBorders>
            <w:tcMar>
              <w:top w:w="113" w:type="dxa"/>
              <w:left w:w="113" w:type="dxa"/>
              <w:bottom w:w="113" w:type="dxa"/>
              <w:right w:w="113" w:type="dxa"/>
            </w:tcMar>
            <w:vAlign w:val="center"/>
          </w:tcPr>
          <w:p w14:paraId="2BAFB155" w14:textId="77777777" w:rsidR="00544964" w:rsidRPr="00765689" w:rsidRDefault="00544964" w:rsidP="00A305E4">
            <w:pPr>
              <w:pStyle w:val="CDIFigure-Table-BodyTextLeft"/>
            </w:pPr>
            <w:r w:rsidRPr="00765689">
              <w:t>NA</w:t>
            </w:r>
          </w:p>
        </w:tc>
        <w:tc>
          <w:tcPr>
            <w:tcW w:w="1701" w:type="dxa"/>
            <w:tcBorders>
              <w:top w:val="single" w:sz="4" w:space="0" w:color="033636" w:themeColor="text2"/>
            </w:tcBorders>
            <w:tcMar>
              <w:top w:w="113" w:type="dxa"/>
              <w:left w:w="113" w:type="dxa"/>
              <w:bottom w:w="113" w:type="dxa"/>
              <w:right w:w="113" w:type="dxa"/>
            </w:tcMar>
            <w:vAlign w:val="center"/>
          </w:tcPr>
          <w:p w14:paraId="0E32DC01" w14:textId="77777777" w:rsidR="00544964" w:rsidRPr="00765689" w:rsidRDefault="00544964" w:rsidP="008639D0">
            <w:pPr>
              <w:pStyle w:val="CDIFigure-Table-BodyTextLeft"/>
            </w:pPr>
            <w:r w:rsidRPr="00765689">
              <w:t>A(H1N1) pdm09</w:t>
            </w:r>
          </w:p>
        </w:tc>
        <w:tc>
          <w:tcPr>
            <w:tcW w:w="141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502EC8D6" w14:textId="77777777" w:rsidR="00544964" w:rsidRPr="00765689" w:rsidRDefault="00544964" w:rsidP="008639D0">
            <w:pPr>
              <w:pStyle w:val="CDIFigure-Table-BodyTextCentre"/>
            </w:pPr>
            <w:r w:rsidRPr="00765689">
              <w:t>23% (7–36%)</w:t>
            </w:r>
          </w:p>
        </w:tc>
        <w:tc>
          <w:tcPr>
            <w:tcW w:w="1418"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2DDB959B" w14:textId="77777777" w:rsidR="00544964" w:rsidRPr="00765689" w:rsidRDefault="00544964" w:rsidP="008639D0">
            <w:pPr>
              <w:pStyle w:val="CDIFigure-Table-BodyTextCentre"/>
            </w:pPr>
            <w:r w:rsidRPr="00765689">
              <w:t>33% (17–46</w:t>
            </w:r>
            <w:proofErr w:type="gramStart"/>
            <w:r w:rsidRPr="00765689">
              <w:t>%)</w:t>
            </w:r>
            <w:r w:rsidRPr="006B34AD">
              <w:rPr>
                <w:vertAlign w:val="superscript"/>
              </w:rPr>
              <w:t>d</w:t>
            </w:r>
            <w:proofErr w:type="gramEnd"/>
          </w:p>
        </w:tc>
      </w:tr>
      <w:tr w:rsidR="00544964" w:rsidRPr="00765689" w14:paraId="6E4E4D35"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19C898EA" w14:textId="77777777" w:rsidR="00544964" w:rsidRPr="00765689" w:rsidRDefault="00544964" w:rsidP="00765689"/>
        </w:tc>
        <w:tc>
          <w:tcPr>
            <w:tcW w:w="907" w:type="dxa"/>
            <w:vMerge/>
            <w:tcBorders>
              <w:bottom w:val="single" w:sz="4" w:space="0" w:color="033636" w:themeColor="text2"/>
            </w:tcBorders>
          </w:tcPr>
          <w:p w14:paraId="3F9EFAFC" w14:textId="77777777" w:rsidR="00544964" w:rsidRPr="00765689" w:rsidRDefault="00544964" w:rsidP="008639D0">
            <w:pPr>
              <w:pStyle w:val="CDIFigure-Table-BodyTextCentre"/>
            </w:pPr>
          </w:p>
        </w:tc>
        <w:tc>
          <w:tcPr>
            <w:tcW w:w="4365" w:type="dxa"/>
            <w:tcMar>
              <w:top w:w="113" w:type="dxa"/>
              <w:left w:w="113" w:type="dxa"/>
              <w:bottom w:w="113" w:type="dxa"/>
              <w:right w:w="113" w:type="dxa"/>
            </w:tcMar>
            <w:vAlign w:val="center"/>
          </w:tcPr>
          <w:p w14:paraId="510F754E" w14:textId="77777777" w:rsidR="00544964" w:rsidRPr="00765689" w:rsidRDefault="00544964" w:rsidP="008639D0">
            <w:pPr>
              <w:pStyle w:val="CDIFigure-Table-BodyTextLeft"/>
            </w:pPr>
            <w:r w:rsidRPr="00765689">
              <w:t>A/Hong Kong/4801/2014 (H3N2)-like virus</w:t>
            </w:r>
          </w:p>
        </w:tc>
        <w:tc>
          <w:tcPr>
            <w:tcW w:w="4252" w:type="dxa"/>
            <w:vMerge/>
          </w:tcPr>
          <w:p w14:paraId="5914106B" w14:textId="77777777" w:rsidR="00544964" w:rsidRPr="00765689" w:rsidRDefault="00544964" w:rsidP="007649F9">
            <w:pPr>
              <w:pStyle w:val="CDIFigure-Table-BodyTextLeft"/>
            </w:pPr>
          </w:p>
        </w:tc>
        <w:tc>
          <w:tcPr>
            <w:tcW w:w="1701" w:type="dxa"/>
            <w:tcMar>
              <w:top w:w="113" w:type="dxa"/>
              <w:left w:w="113" w:type="dxa"/>
              <w:bottom w:w="113" w:type="dxa"/>
              <w:right w:w="113" w:type="dxa"/>
            </w:tcMar>
            <w:vAlign w:val="center"/>
          </w:tcPr>
          <w:p w14:paraId="71C6C5F7" w14:textId="77777777" w:rsidR="00544964" w:rsidRPr="00544964" w:rsidRDefault="00544964" w:rsidP="008639D0">
            <w:pPr>
              <w:pStyle w:val="CDIFigure-Table-BodyTextLeft"/>
              <w:rPr>
                <w:b/>
                <w:bCs/>
              </w:rPr>
            </w:pPr>
            <w:r w:rsidRPr="00544964">
              <w:rPr>
                <w:b/>
                <w:bCs/>
              </w:rPr>
              <w:t>A(H3N2)</w:t>
            </w:r>
          </w:p>
        </w:tc>
        <w:tc>
          <w:tcPr>
            <w:tcW w:w="1417" w:type="dxa"/>
            <w:vMerge/>
            <w:tcBorders>
              <w:bottom w:val="single" w:sz="4" w:space="0" w:color="033636" w:themeColor="text2"/>
            </w:tcBorders>
          </w:tcPr>
          <w:p w14:paraId="71A5808D" w14:textId="77777777" w:rsidR="00544964" w:rsidRPr="00765689" w:rsidRDefault="00544964" w:rsidP="00765689"/>
        </w:tc>
        <w:tc>
          <w:tcPr>
            <w:tcW w:w="1418" w:type="dxa"/>
            <w:vMerge/>
            <w:tcBorders>
              <w:bottom w:val="single" w:sz="4" w:space="0" w:color="033636" w:themeColor="text2"/>
            </w:tcBorders>
          </w:tcPr>
          <w:p w14:paraId="754189BF" w14:textId="77777777" w:rsidR="00544964" w:rsidRPr="00765689" w:rsidRDefault="00544964" w:rsidP="00765689"/>
        </w:tc>
      </w:tr>
      <w:tr w:rsidR="00544964" w:rsidRPr="00765689" w14:paraId="55E47A48" w14:textId="77777777" w:rsidTr="002655ED">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4CF4EEF4" w14:textId="77777777" w:rsidR="00544964" w:rsidRPr="00765689" w:rsidRDefault="00544964" w:rsidP="00765689"/>
        </w:tc>
        <w:tc>
          <w:tcPr>
            <w:tcW w:w="907" w:type="dxa"/>
            <w:vMerge/>
            <w:tcBorders>
              <w:bottom w:val="single" w:sz="4" w:space="0" w:color="033636" w:themeColor="text2"/>
            </w:tcBorders>
          </w:tcPr>
          <w:p w14:paraId="6B7FD47D" w14:textId="77777777" w:rsidR="00544964" w:rsidRPr="00765689" w:rsidRDefault="00544964" w:rsidP="008639D0">
            <w:pPr>
              <w:pStyle w:val="CDIFigure-Table-BodyTextCentre"/>
            </w:pPr>
          </w:p>
        </w:tc>
        <w:tc>
          <w:tcPr>
            <w:tcW w:w="4365" w:type="dxa"/>
            <w:tcMar>
              <w:top w:w="113" w:type="dxa"/>
              <w:left w:w="113" w:type="dxa"/>
              <w:bottom w:w="113" w:type="dxa"/>
              <w:right w:w="113" w:type="dxa"/>
            </w:tcMar>
            <w:vAlign w:val="center"/>
          </w:tcPr>
          <w:p w14:paraId="2207B50D" w14:textId="77777777" w:rsidR="00544964" w:rsidRPr="00765689" w:rsidRDefault="00544964" w:rsidP="008639D0">
            <w:pPr>
              <w:pStyle w:val="CDIFigure-Table-BodyTextLeft"/>
            </w:pPr>
            <w:r w:rsidRPr="00765689">
              <w:t>B/Brisbane/60/2008-like virus (Victoria lineage)</w:t>
            </w:r>
          </w:p>
        </w:tc>
        <w:tc>
          <w:tcPr>
            <w:tcW w:w="4252" w:type="dxa"/>
            <w:vMerge/>
          </w:tcPr>
          <w:p w14:paraId="1CB96E18" w14:textId="77777777" w:rsidR="00544964" w:rsidRPr="00765689" w:rsidRDefault="00544964" w:rsidP="007649F9">
            <w:pPr>
              <w:pStyle w:val="CDIFigure-Table-BodyTextLeft"/>
            </w:pPr>
          </w:p>
        </w:tc>
        <w:tc>
          <w:tcPr>
            <w:tcW w:w="1701" w:type="dxa"/>
            <w:tcMar>
              <w:top w:w="113" w:type="dxa"/>
              <w:left w:w="113" w:type="dxa"/>
              <w:bottom w:w="113" w:type="dxa"/>
              <w:right w:w="113" w:type="dxa"/>
            </w:tcMar>
            <w:vAlign w:val="center"/>
          </w:tcPr>
          <w:p w14:paraId="10C1554E" w14:textId="77777777" w:rsidR="00544964" w:rsidRPr="00765689" w:rsidRDefault="00544964" w:rsidP="008639D0">
            <w:pPr>
              <w:pStyle w:val="CDIFigure-Table-BodyTextLeft"/>
            </w:pPr>
            <w:r w:rsidRPr="00765689">
              <w:t>B/Victoria lineage</w:t>
            </w:r>
          </w:p>
        </w:tc>
        <w:tc>
          <w:tcPr>
            <w:tcW w:w="1417" w:type="dxa"/>
            <w:vMerge/>
            <w:tcBorders>
              <w:bottom w:val="single" w:sz="4" w:space="0" w:color="033636" w:themeColor="text2"/>
            </w:tcBorders>
          </w:tcPr>
          <w:p w14:paraId="63F248DB" w14:textId="77777777" w:rsidR="00544964" w:rsidRPr="00765689" w:rsidRDefault="00544964" w:rsidP="00765689"/>
        </w:tc>
        <w:tc>
          <w:tcPr>
            <w:tcW w:w="1418" w:type="dxa"/>
            <w:vMerge/>
            <w:tcBorders>
              <w:bottom w:val="single" w:sz="4" w:space="0" w:color="033636" w:themeColor="text2"/>
            </w:tcBorders>
          </w:tcPr>
          <w:p w14:paraId="60E1EA40" w14:textId="77777777" w:rsidR="00544964" w:rsidRPr="00765689" w:rsidRDefault="00544964" w:rsidP="00765689"/>
        </w:tc>
      </w:tr>
      <w:tr w:rsidR="00544964" w:rsidRPr="00765689" w14:paraId="22A7BA7C" w14:textId="77777777" w:rsidTr="00544964">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3933FE9D" w14:textId="77777777" w:rsidR="00544964" w:rsidRPr="00765689" w:rsidRDefault="00544964" w:rsidP="00765689"/>
        </w:tc>
        <w:tc>
          <w:tcPr>
            <w:tcW w:w="907" w:type="dxa"/>
            <w:vMerge/>
            <w:tcBorders>
              <w:bottom w:val="single" w:sz="4" w:space="0" w:color="033636" w:themeColor="text2"/>
            </w:tcBorders>
          </w:tcPr>
          <w:p w14:paraId="1ABB9A70" w14:textId="77777777" w:rsidR="00544964" w:rsidRPr="00765689" w:rsidRDefault="00544964" w:rsidP="008639D0">
            <w:pPr>
              <w:pStyle w:val="CDIFigure-Table-BodyTextCentre"/>
            </w:pPr>
          </w:p>
        </w:tc>
        <w:tc>
          <w:tcPr>
            <w:tcW w:w="4365" w:type="dxa"/>
            <w:tcBorders>
              <w:bottom w:val="single" w:sz="4" w:space="0" w:color="033636" w:themeColor="text2"/>
            </w:tcBorders>
            <w:tcMar>
              <w:top w:w="113" w:type="dxa"/>
              <w:left w:w="113" w:type="dxa"/>
              <w:bottom w:w="113" w:type="dxa"/>
              <w:right w:w="113" w:type="dxa"/>
            </w:tcMar>
            <w:vAlign w:val="center"/>
          </w:tcPr>
          <w:p w14:paraId="2A208684" w14:textId="77777777" w:rsidR="00544964" w:rsidRPr="00765689" w:rsidRDefault="00544964" w:rsidP="008639D0">
            <w:pPr>
              <w:pStyle w:val="CDIFigure-Table-BodyTextLeft"/>
            </w:pPr>
            <w:r w:rsidRPr="00765689">
              <w:t>B/Phuket/3073/2013-like virus (Yamagata lineage)</w:t>
            </w:r>
          </w:p>
        </w:tc>
        <w:tc>
          <w:tcPr>
            <w:tcW w:w="4252" w:type="dxa"/>
            <w:vMerge/>
            <w:tcBorders>
              <w:bottom w:val="single" w:sz="4" w:space="0" w:color="033636" w:themeColor="text2"/>
            </w:tcBorders>
          </w:tcPr>
          <w:p w14:paraId="3CD548E6" w14:textId="77777777" w:rsidR="00544964" w:rsidRPr="00765689" w:rsidRDefault="00544964" w:rsidP="007649F9">
            <w:pPr>
              <w:pStyle w:val="CDIFigure-Table-BodyTextLeft"/>
            </w:pPr>
          </w:p>
        </w:tc>
        <w:tc>
          <w:tcPr>
            <w:tcW w:w="1701" w:type="dxa"/>
            <w:tcBorders>
              <w:bottom w:val="single" w:sz="4" w:space="0" w:color="033636" w:themeColor="text2"/>
            </w:tcBorders>
            <w:tcMar>
              <w:top w:w="113" w:type="dxa"/>
              <w:left w:w="113" w:type="dxa"/>
              <w:bottom w:w="113" w:type="dxa"/>
              <w:right w:w="113" w:type="dxa"/>
            </w:tcMar>
            <w:vAlign w:val="center"/>
          </w:tcPr>
          <w:p w14:paraId="5D5A7C50" w14:textId="77777777" w:rsidR="00544964" w:rsidRPr="00765689" w:rsidRDefault="00544964" w:rsidP="008639D0">
            <w:pPr>
              <w:pStyle w:val="CDIFigure-Table-BodyTextLeft"/>
            </w:pPr>
            <w:r w:rsidRPr="00765689">
              <w:t>B/Yamagata lineage</w:t>
            </w:r>
          </w:p>
        </w:tc>
        <w:tc>
          <w:tcPr>
            <w:tcW w:w="1417" w:type="dxa"/>
            <w:vMerge/>
            <w:tcBorders>
              <w:bottom w:val="single" w:sz="4" w:space="0" w:color="033636" w:themeColor="text2"/>
            </w:tcBorders>
          </w:tcPr>
          <w:p w14:paraId="73600451" w14:textId="77777777" w:rsidR="00544964" w:rsidRPr="00765689" w:rsidRDefault="00544964" w:rsidP="00765689"/>
        </w:tc>
        <w:tc>
          <w:tcPr>
            <w:tcW w:w="1418" w:type="dxa"/>
            <w:vMerge/>
            <w:tcBorders>
              <w:bottom w:val="single" w:sz="4" w:space="0" w:color="033636" w:themeColor="text2"/>
            </w:tcBorders>
          </w:tcPr>
          <w:p w14:paraId="45928FE9" w14:textId="77777777" w:rsidR="00544964" w:rsidRPr="00765689" w:rsidRDefault="00544964" w:rsidP="00765689"/>
        </w:tc>
      </w:tr>
      <w:tr w:rsidR="00544964" w:rsidRPr="00765689" w14:paraId="58F5B152" w14:textId="77777777" w:rsidTr="00544964">
        <w:tblPrEx>
          <w:tblCellMar>
            <w:top w:w="0" w:type="dxa"/>
            <w:left w:w="0" w:type="dxa"/>
            <w:bottom w:w="0" w:type="dxa"/>
            <w:right w:w="0" w:type="dxa"/>
          </w:tblCellMar>
        </w:tblPrEx>
        <w:trPr>
          <w:trHeight w:val="20"/>
        </w:trPr>
        <w:tc>
          <w:tcPr>
            <w:tcW w:w="680"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7A9DC8C" w14:textId="77777777" w:rsidR="00544964" w:rsidRPr="00765689" w:rsidRDefault="00544964" w:rsidP="008639D0">
            <w:pPr>
              <w:pStyle w:val="CDIFigure-Table-BodyTextLeft"/>
            </w:pPr>
            <w:r w:rsidRPr="00765689">
              <w:t>2016</w:t>
            </w:r>
          </w:p>
        </w:tc>
        <w:tc>
          <w:tcPr>
            <w:tcW w:w="90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6A7EB4DC" w14:textId="77777777" w:rsidR="00544964" w:rsidRPr="00765689" w:rsidRDefault="00544964" w:rsidP="008639D0">
            <w:pPr>
              <w:pStyle w:val="CDIFigure-Table-BodyTextCentre"/>
            </w:pPr>
            <w:r w:rsidRPr="00765689">
              <w:t>130–133</w:t>
            </w:r>
          </w:p>
        </w:tc>
        <w:tc>
          <w:tcPr>
            <w:tcW w:w="4365" w:type="dxa"/>
            <w:tcBorders>
              <w:top w:val="single" w:sz="4" w:space="0" w:color="033636" w:themeColor="text2"/>
            </w:tcBorders>
            <w:tcMar>
              <w:top w:w="113" w:type="dxa"/>
              <w:left w:w="113" w:type="dxa"/>
              <w:bottom w:w="113" w:type="dxa"/>
              <w:right w:w="113" w:type="dxa"/>
            </w:tcMar>
            <w:vAlign w:val="center"/>
          </w:tcPr>
          <w:p w14:paraId="19ED3923" w14:textId="77777777" w:rsidR="00544964" w:rsidRPr="00765689" w:rsidRDefault="00544964" w:rsidP="008639D0">
            <w:pPr>
              <w:pStyle w:val="CDIFigure-Table-BodyTextLeft"/>
            </w:pPr>
            <w:r w:rsidRPr="00765689">
              <w:t>A/California/7/2009 (H1N1)pdm09-like virus</w:t>
            </w:r>
          </w:p>
        </w:tc>
        <w:tc>
          <w:tcPr>
            <w:tcW w:w="4252" w:type="dxa"/>
            <w:vMerge w:val="restart"/>
            <w:tcBorders>
              <w:top w:val="single" w:sz="4" w:space="0" w:color="033636" w:themeColor="text2"/>
            </w:tcBorders>
            <w:tcMar>
              <w:top w:w="113" w:type="dxa"/>
              <w:left w:w="113" w:type="dxa"/>
              <w:bottom w:w="113" w:type="dxa"/>
              <w:right w:w="113" w:type="dxa"/>
            </w:tcMar>
            <w:vAlign w:val="center"/>
          </w:tcPr>
          <w:p w14:paraId="3CB5A5B1" w14:textId="77777777" w:rsidR="00544964" w:rsidRPr="002655ED" w:rsidRDefault="00544964" w:rsidP="00A305E4">
            <w:pPr>
              <w:pStyle w:val="CDIFigure-Table-BodyTextLeft"/>
            </w:pPr>
            <w:r w:rsidRPr="002655ED">
              <w:t>NA</w:t>
            </w:r>
          </w:p>
        </w:tc>
        <w:tc>
          <w:tcPr>
            <w:tcW w:w="1701" w:type="dxa"/>
            <w:tcBorders>
              <w:top w:val="single" w:sz="4" w:space="0" w:color="033636" w:themeColor="text2"/>
            </w:tcBorders>
            <w:tcMar>
              <w:top w:w="113" w:type="dxa"/>
              <w:left w:w="113" w:type="dxa"/>
              <w:bottom w:w="113" w:type="dxa"/>
              <w:right w:w="113" w:type="dxa"/>
            </w:tcMar>
            <w:vAlign w:val="center"/>
          </w:tcPr>
          <w:p w14:paraId="1FA25710" w14:textId="77777777" w:rsidR="00544964" w:rsidRPr="00544964" w:rsidRDefault="00544964" w:rsidP="008639D0">
            <w:pPr>
              <w:pStyle w:val="CDIFigure-Table-BodyTextLeft"/>
              <w:rPr>
                <w:b/>
                <w:bCs/>
              </w:rPr>
            </w:pPr>
            <w:r w:rsidRPr="00544964">
              <w:rPr>
                <w:b/>
                <w:bCs/>
              </w:rPr>
              <w:t>A(H1N1) pdm09</w:t>
            </w:r>
          </w:p>
        </w:tc>
        <w:tc>
          <w:tcPr>
            <w:tcW w:w="1417"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31F2B989" w14:textId="77777777" w:rsidR="00544964" w:rsidRPr="00765689" w:rsidRDefault="00544964" w:rsidP="00544964">
            <w:pPr>
              <w:pStyle w:val="CDIFigure-Table-BodyTextCentre"/>
            </w:pPr>
            <w:r w:rsidRPr="00765689">
              <w:t>13% (-5–27%)</w:t>
            </w:r>
          </w:p>
        </w:tc>
        <w:tc>
          <w:tcPr>
            <w:tcW w:w="1418" w:type="dxa"/>
            <w:vMerge w:val="restart"/>
            <w:tcBorders>
              <w:top w:val="single" w:sz="4" w:space="0" w:color="033636" w:themeColor="text2"/>
              <w:bottom w:val="single" w:sz="4" w:space="0" w:color="033636" w:themeColor="text2"/>
            </w:tcBorders>
            <w:tcMar>
              <w:top w:w="113" w:type="dxa"/>
              <w:left w:w="113" w:type="dxa"/>
              <w:bottom w:w="113" w:type="dxa"/>
              <w:right w:w="113" w:type="dxa"/>
            </w:tcMar>
            <w:vAlign w:val="center"/>
          </w:tcPr>
          <w:p w14:paraId="47C48380" w14:textId="77777777" w:rsidR="00544964" w:rsidRPr="00765689" w:rsidRDefault="00544964" w:rsidP="00544964">
            <w:pPr>
              <w:pStyle w:val="CDIFigure-Table-BodyTextCentre"/>
            </w:pPr>
            <w:r w:rsidRPr="00765689">
              <w:t>40% (18–56</w:t>
            </w:r>
            <w:proofErr w:type="gramStart"/>
            <w:r w:rsidRPr="00765689">
              <w:t>%)</w:t>
            </w:r>
            <w:r w:rsidRPr="006B34AD">
              <w:rPr>
                <w:vertAlign w:val="superscript"/>
              </w:rPr>
              <w:t>d</w:t>
            </w:r>
            <w:proofErr w:type="gramEnd"/>
          </w:p>
        </w:tc>
      </w:tr>
      <w:tr w:rsidR="00544964" w:rsidRPr="00765689" w14:paraId="679821E5" w14:textId="77777777" w:rsidTr="00544964">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64A07F3D" w14:textId="77777777" w:rsidR="00544964" w:rsidRPr="00765689" w:rsidRDefault="00544964" w:rsidP="00765689"/>
        </w:tc>
        <w:tc>
          <w:tcPr>
            <w:tcW w:w="907" w:type="dxa"/>
            <w:vMerge/>
            <w:tcBorders>
              <w:bottom w:val="single" w:sz="4" w:space="0" w:color="033636" w:themeColor="text2"/>
            </w:tcBorders>
          </w:tcPr>
          <w:p w14:paraId="7C3E28F0" w14:textId="77777777" w:rsidR="00544964" w:rsidRPr="00765689" w:rsidRDefault="00544964" w:rsidP="00765689"/>
        </w:tc>
        <w:tc>
          <w:tcPr>
            <w:tcW w:w="4365" w:type="dxa"/>
            <w:tcMar>
              <w:top w:w="113" w:type="dxa"/>
              <w:left w:w="113" w:type="dxa"/>
              <w:bottom w:w="113" w:type="dxa"/>
              <w:right w:w="113" w:type="dxa"/>
            </w:tcMar>
            <w:vAlign w:val="center"/>
          </w:tcPr>
          <w:p w14:paraId="77B580F6" w14:textId="77777777" w:rsidR="00544964" w:rsidRPr="00765689" w:rsidRDefault="00544964" w:rsidP="008639D0">
            <w:pPr>
              <w:pStyle w:val="CDIFigure-Table-BodyTextLeft"/>
            </w:pPr>
            <w:r w:rsidRPr="00765689">
              <w:t>A/Hong Kong/4801/2014 (H3N2)-like virus</w:t>
            </w:r>
          </w:p>
        </w:tc>
        <w:tc>
          <w:tcPr>
            <w:tcW w:w="4252" w:type="dxa"/>
            <w:vMerge/>
          </w:tcPr>
          <w:p w14:paraId="09214E4A" w14:textId="77777777" w:rsidR="00544964" w:rsidRPr="002655ED" w:rsidRDefault="00544964" w:rsidP="002655ED">
            <w:pPr>
              <w:pStyle w:val="CDIFigure-Table-BodyTextLeft"/>
            </w:pPr>
          </w:p>
        </w:tc>
        <w:tc>
          <w:tcPr>
            <w:tcW w:w="1701" w:type="dxa"/>
            <w:tcMar>
              <w:top w:w="113" w:type="dxa"/>
              <w:left w:w="113" w:type="dxa"/>
              <w:bottom w:w="113" w:type="dxa"/>
              <w:right w:w="113" w:type="dxa"/>
            </w:tcMar>
            <w:vAlign w:val="center"/>
          </w:tcPr>
          <w:p w14:paraId="5DC5162B" w14:textId="77777777" w:rsidR="00544964" w:rsidRPr="00544964" w:rsidRDefault="00544964" w:rsidP="008639D0">
            <w:pPr>
              <w:pStyle w:val="CDIFigure-Table-BodyTextLeft"/>
              <w:rPr>
                <w:b/>
                <w:bCs/>
              </w:rPr>
            </w:pPr>
            <w:r w:rsidRPr="00544964">
              <w:rPr>
                <w:b/>
                <w:bCs/>
              </w:rPr>
              <w:t>A(H3N2)</w:t>
            </w:r>
          </w:p>
        </w:tc>
        <w:tc>
          <w:tcPr>
            <w:tcW w:w="1417" w:type="dxa"/>
            <w:vMerge/>
            <w:tcBorders>
              <w:bottom w:val="single" w:sz="4" w:space="0" w:color="033636" w:themeColor="text2"/>
            </w:tcBorders>
          </w:tcPr>
          <w:p w14:paraId="6CF04CAE" w14:textId="77777777" w:rsidR="00544964" w:rsidRPr="00765689" w:rsidRDefault="00544964" w:rsidP="00544964">
            <w:pPr>
              <w:pStyle w:val="CDIFigure-Table-BodyTextCentre"/>
            </w:pPr>
          </w:p>
        </w:tc>
        <w:tc>
          <w:tcPr>
            <w:tcW w:w="1418" w:type="dxa"/>
            <w:vMerge/>
            <w:tcBorders>
              <w:bottom w:val="single" w:sz="4" w:space="0" w:color="033636" w:themeColor="text2"/>
            </w:tcBorders>
          </w:tcPr>
          <w:p w14:paraId="59BA9FFA" w14:textId="77777777" w:rsidR="00544964" w:rsidRPr="00765689" w:rsidRDefault="00544964" w:rsidP="00544964">
            <w:pPr>
              <w:pStyle w:val="CDIFigure-Table-BodyTextCentre"/>
            </w:pPr>
          </w:p>
        </w:tc>
      </w:tr>
      <w:tr w:rsidR="00544964" w:rsidRPr="00765689" w14:paraId="46FC272B" w14:textId="77777777" w:rsidTr="00544964">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5259337E" w14:textId="77777777" w:rsidR="00544964" w:rsidRPr="00765689" w:rsidRDefault="00544964" w:rsidP="00765689"/>
        </w:tc>
        <w:tc>
          <w:tcPr>
            <w:tcW w:w="907" w:type="dxa"/>
            <w:vMerge/>
            <w:tcBorders>
              <w:bottom w:val="single" w:sz="4" w:space="0" w:color="033636" w:themeColor="text2"/>
            </w:tcBorders>
          </w:tcPr>
          <w:p w14:paraId="431958CB" w14:textId="77777777" w:rsidR="00544964" w:rsidRPr="00765689" w:rsidRDefault="00544964" w:rsidP="00765689"/>
        </w:tc>
        <w:tc>
          <w:tcPr>
            <w:tcW w:w="4365" w:type="dxa"/>
            <w:tcMar>
              <w:top w:w="113" w:type="dxa"/>
              <w:left w:w="113" w:type="dxa"/>
              <w:bottom w:w="113" w:type="dxa"/>
              <w:right w:w="113" w:type="dxa"/>
            </w:tcMar>
            <w:vAlign w:val="center"/>
          </w:tcPr>
          <w:p w14:paraId="3E702C6D" w14:textId="77777777" w:rsidR="00544964" w:rsidRPr="00765689" w:rsidRDefault="00544964" w:rsidP="008639D0">
            <w:pPr>
              <w:pStyle w:val="CDIFigure-Table-BodyTextLeft"/>
            </w:pPr>
            <w:r w:rsidRPr="00765689">
              <w:t>B/Brisbane/60/2008-like virus (Victoria lineage)</w:t>
            </w:r>
          </w:p>
        </w:tc>
        <w:tc>
          <w:tcPr>
            <w:tcW w:w="4252" w:type="dxa"/>
            <w:vMerge/>
          </w:tcPr>
          <w:p w14:paraId="706532C7" w14:textId="77777777" w:rsidR="00544964" w:rsidRPr="002655ED" w:rsidRDefault="00544964" w:rsidP="002655ED">
            <w:pPr>
              <w:pStyle w:val="CDIFigure-Table-BodyTextLeft"/>
            </w:pPr>
          </w:p>
        </w:tc>
        <w:tc>
          <w:tcPr>
            <w:tcW w:w="1701" w:type="dxa"/>
            <w:tcMar>
              <w:top w:w="113" w:type="dxa"/>
              <w:left w:w="113" w:type="dxa"/>
              <w:bottom w:w="113" w:type="dxa"/>
              <w:right w:w="113" w:type="dxa"/>
            </w:tcMar>
            <w:vAlign w:val="center"/>
          </w:tcPr>
          <w:p w14:paraId="7559ECAF" w14:textId="77777777" w:rsidR="00544964" w:rsidRPr="00765689" w:rsidRDefault="00544964" w:rsidP="008639D0">
            <w:pPr>
              <w:pStyle w:val="CDIFigure-Table-BodyTextLeft"/>
            </w:pPr>
            <w:r w:rsidRPr="00765689">
              <w:t>B/Victoria lineage</w:t>
            </w:r>
          </w:p>
        </w:tc>
        <w:tc>
          <w:tcPr>
            <w:tcW w:w="1417" w:type="dxa"/>
            <w:vMerge/>
            <w:tcBorders>
              <w:bottom w:val="single" w:sz="4" w:space="0" w:color="033636" w:themeColor="text2"/>
            </w:tcBorders>
          </w:tcPr>
          <w:p w14:paraId="15D9E119" w14:textId="09365F26" w:rsidR="00544964" w:rsidRPr="00765689" w:rsidRDefault="00544964" w:rsidP="00544964">
            <w:pPr>
              <w:pStyle w:val="CDIFigure-Table-BodyTextCentre"/>
            </w:pPr>
          </w:p>
        </w:tc>
        <w:tc>
          <w:tcPr>
            <w:tcW w:w="1418" w:type="dxa"/>
            <w:vMerge/>
            <w:tcBorders>
              <w:bottom w:val="single" w:sz="4" w:space="0" w:color="033636" w:themeColor="text2"/>
            </w:tcBorders>
          </w:tcPr>
          <w:p w14:paraId="629D48BB" w14:textId="05ECE13E" w:rsidR="00544964" w:rsidRPr="00765689" w:rsidRDefault="00544964" w:rsidP="00544964">
            <w:pPr>
              <w:pStyle w:val="CDIFigure-Table-BodyTextCentre"/>
            </w:pPr>
          </w:p>
        </w:tc>
      </w:tr>
      <w:tr w:rsidR="00544964" w:rsidRPr="00765689" w14:paraId="46FCD53D" w14:textId="77777777" w:rsidTr="00544964">
        <w:tblPrEx>
          <w:tblCellMar>
            <w:top w:w="0" w:type="dxa"/>
            <w:left w:w="0" w:type="dxa"/>
            <w:bottom w:w="0" w:type="dxa"/>
            <w:right w:w="0" w:type="dxa"/>
          </w:tblCellMar>
        </w:tblPrEx>
        <w:trPr>
          <w:trHeight w:val="20"/>
        </w:trPr>
        <w:tc>
          <w:tcPr>
            <w:tcW w:w="680" w:type="dxa"/>
            <w:vMerge/>
            <w:tcBorders>
              <w:bottom w:val="single" w:sz="4" w:space="0" w:color="033636" w:themeColor="text2"/>
            </w:tcBorders>
            <w:shd w:val="clear" w:color="auto" w:fill="C5FFEF" w:themeFill="background2" w:themeFillTint="33"/>
          </w:tcPr>
          <w:p w14:paraId="5277726A" w14:textId="77777777" w:rsidR="00544964" w:rsidRPr="00765689" w:rsidRDefault="00544964" w:rsidP="00765689"/>
        </w:tc>
        <w:tc>
          <w:tcPr>
            <w:tcW w:w="907" w:type="dxa"/>
            <w:vMerge/>
            <w:tcBorders>
              <w:bottom w:val="single" w:sz="4" w:space="0" w:color="033636" w:themeColor="text2"/>
            </w:tcBorders>
          </w:tcPr>
          <w:p w14:paraId="4B6D2586" w14:textId="77777777" w:rsidR="00544964" w:rsidRPr="00765689" w:rsidRDefault="00544964" w:rsidP="00765689"/>
        </w:tc>
        <w:tc>
          <w:tcPr>
            <w:tcW w:w="4365" w:type="dxa"/>
            <w:tcBorders>
              <w:bottom w:val="single" w:sz="4" w:space="0" w:color="033636" w:themeColor="text2"/>
            </w:tcBorders>
            <w:tcMar>
              <w:top w:w="113" w:type="dxa"/>
              <w:left w:w="113" w:type="dxa"/>
              <w:bottom w:w="113" w:type="dxa"/>
              <w:right w:w="113" w:type="dxa"/>
            </w:tcMar>
            <w:vAlign w:val="center"/>
          </w:tcPr>
          <w:p w14:paraId="3545576D" w14:textId="77777777" w:rsidR="00544964" w:rsidRPr="00765689" w:rsidRDefault="00544964" w:rsidP="008639D0">
            <w:pPr>
              <w:pStyle w:val="CDIFigure-Table-BodyTextLeft"/>
            </w:pPr>
            <w:r w:rsidRPr="00765689">
              <w:t>B/Phuket/3073/2013-like virus (Yamagata lineage)</w:t>
            </w:r>
          </w:p>
        </w:tc>
        <w:tc>
          <w:tcPr>
            <w:tcW w:w="4252" w:type="dxa"/>
            <w:vMerge/>
            <w:tcBorders>
              <w:bottom w:val="single" w:sz="4" w:space="0" w:color="033636" w:themeColor="text2"/>
            </w:tcBorders>
          </w:tcPr>
          <w:p w14:paraId="4037D0F5" w14:textId="77777777" w:rsidR="00544964" w:rsidRPr="002655ED" w:rsidRDefault="00544964" w:rsidP="002655ED">
            <w:pPr>
              <w:pStyle w:val="CDIFigure-Table-BodyTextLeft"/>
            </w:pPr>
          </w:p>
        </w:tc>
        <w:tc>
          <w:tcPr>
            <w:tcW w:w="1701" w:type="dxa"/>
            <w:tcBorders>
              <w:bottom w:val="single" w:sz="4" w:space="0" w:color="033636" w:themeColor="text2"/>
            </w:tcBorders>
            <w:tcMar>
              <w:top w:w="113" w:type="dxa"/>
              <w:left w:w="113" w:type="dxa"/>
              <w:bottom w:w="113" w:type="dxa"/>
              <w:right w:w="113" w:type="dxa"/>
            </w:tcMar>
            <w:vAlign w:val="center"/>
          </w:tcPr>
          <w:p w14:paraId="3858111C" w14:textId="77777777" w:rsidR="00544964" w:rsidRPr="00765689" w:rsidRDefault="00544964" w:rsidP="008639D0">
            <w:pPr>
              <w:pStyle w:val="CDIFigure-Table-BodyTextLeft"/>
            </w:pPr>
            <w:r w:rsidRPr="00765689">
              <w:t>B/Yamagata lineage</w:t>
            </w:r>
          </w:p>
        </w:tc>
        <w:tc>
          <w:tcPr>
            <w:tcW w:w="1417" w:type="dxa"/>
            <w:vMerge/>
            <w:tcBorders>
              <w:bottom w:val="single" w:sz="4" w:space="0" w:color="033636" w:themeColor="text2"/>
            </w:tcBorders>
          </w:tcPr>
          <w:p w14:paraId="25952B4D" w14:textId="6B89AFFB" w:rsidR="00544964" w:rsidRPr="00765689" w:rsidRDefault="00544964" w:rsidP="00544964">
            <w:pPr>
              <w:pStyle w:val="CDIFigure-Table-BodyTextCentre"/>
            </w:pPr>
          </w:p>
        </w:tc>
        <w:tc>
          <w:tcPr>
            <w:tcW w:w="1418" w:type="dxa"/>
            <w:vMerge/>
            <w:tcBorders>
              <w:bottom w:val="single" w:sz="4" w:space="0" w:color="033636" w:themeColor="text2"/>
            </w:tcBorders>
          </w:tcPr>
          <w:p w14:paraId="66AAF16D" w14:textId="77777777" w:rsidR="00544964" w:rsidRPr="00765689" w:rsidRDefault="00544964" w:rsidP="00544964">
            <w:pPr>
              <w:pStyle w:val="CDIFigure-Table-BodyTextCentre"/>
            </w:pPr>
          </w:p>
        </w:tc>
      </w:tr>
    </w:tbl>
    <w:p w14:paraId="1C8114E3" w14:textId="77777777" w:rsidR="00B978A2" w:rsidRDefault="00B978A2" w:rsidP="00B978A2">
      <w:pPr>
        <w:pStyle w:val="CDIFigure-Table-FirstFootnote"/>
      </w:pPr>
      <w:r>
        <w:t>a</w:t>
      </w:r>
      <w:r>
        <w:tab/>
      </w:r>
      <w:proofErr w:type="gramStart"/>
      <w:r>
        <w:t>Dominant strains</w:t>
      </w:r>
      <w:proofErr w:type="gramEnd"/>
      <w:r>
        <w:t xml:space="preserve"> in bold font.</w:t>
      </w:r>
    </w:p>
    <w:p w14:paraId="1F0B1665" w14:textId="77777777" w:rsidR="00B978A2" w:rsidRDefault="00B978A2" w:rsidP="00544964">
      <w:pPr>
        <w:pStyle w:val="CDIFigure-Table-Footnote"/>
        <w:spacing w:before="20"/>
      </w:pPr>
      <w:r>
        <w:t>b</w:t>
      </w:r>
      <w:r>
        <w:tab/>
        <w:t>Data provided by FluCAN.</w:t>
      </w:r>
    </w:p>
    <w:p w14:paraId="0766D093" w14:textId="77777777" w:rsidR="00B978A2" w:rsidRDefault="00B978A2" w:rsidP="00544964">
      <w:pPr>
        <w:pStyle w:val="CDIFigure-Table-Footnote"/>
        <w:spacing w:before="20"/>
      </w:pPr>
      <w:r>
        <w:t>c</w:t>
      </w:r>
      <w:r>
        <w:tab/>
        <w:t>Data for dominant strains and VE were unavailable due to limited laboratory-confirmed cases.</w:t>
      </w:r>
    </w:p>
    <w:p w14:paraId="6863C1DE" w14:textId="0E5C4D81" w:rsidR="00AC0F5D" w:rsidRDefault="00B978A2" w:rsidP="00544964">
      <w:pPr>
        <w:pStyle w:val="CDIFigure-Table-Footnote"/>
        <w:spacing w:before="20"/>
      </w:pPr>
      <w:r>
        <w:t>d</w:t>
      </w:r>
      <w:r>
        <w:tab/>
        <w:t>VE estimated based on interim data.</w:t>
      </w:r>
    </w:p>
    <w:p w14:paraId="5611490C" w14:textId="77777777" w:rsidR="00AC0F5D" w:rsidRDefault="00AC0F5D" w:rsidP="00B33E0B">
      <w:pPr>
        <w:sectPr w:rsidR="00AC0F5D" w:rsidSect="001A26DD">
          <w:footerReference w:type="default" r:id="rId16"/>
          <w:pgSz w:w="16840" w:h="11907" w:orient="landscape" w:code="9"/>
          <w:pgMar w:top="1134" w:right="1304" w:bottom="1134" w:left="1304" w:header="709" w:footer="527" w:gutter="0"/>
          <w:cols w:space="708"/>
          <w:docGrid w:linePitch="360"/>
        </w:sectPr>
      </w:pPr>
    </w:p>
    <w:p w14:paraId="77BC3281" w14:textId="63284DD1" w:rsidR="00B978A2" w:rsidRDefault="00B978A2" w:rsidP="00B978A2">
      <w:pPr>
        <w:pStyle w:val="CDIFigure-Table-Title"/>
      </w:pPr>
      <w:r w:rsidRPr="00B978A2">
        <w:lastRenderedPageBreak/>
        <w:t xml:space="preserve">Table A.2: Specified medical conditions associated with increased risk of influenza and serious </w:t>
      </w:r>
      <w:proofErr w:type="spellStart"/>
      <w:proofErr w:type="gramStart"/>
      <w:r w:rsidRPr="00B978A2">
        <w:t>complications</w:t>
      </w:r>
      <w:r w:rsidRPr="00B978A2">
        <w:rPr>
          <w:vertAlign w:val="superscript"/>
        </w:rPr>
        <w:t>a,b</w:t>
      </w:r>
      <w:proofErr w:type="spellEnd"/>
      <w:proofErr w:type="gramEnd"/>
    </w:p>
    <w:tbl>
      <w:tblPr>
        <w:tblW w:w="0" w:type="auto"/>
        <w:tblInd w:w="-8" w:type="dxa"/>
        <w:tblLayout w:type="fixed"/>
        <w:tblCellMar>
          <w:left w:w="0" w:type="dxa"/>
          <w:right w:w="0" w:type="dxa"/>
        </w:tblCellMar>
        <w:tblLook w:val="0000" w:firstRow="0" w:lastRow="0" w:firstColumn="0" w:lastColumn="0" w:noHBand="0" w:noVBand="0"/>
        <w:tblCaption w:val="Table A.2: Specified medical conditions associated with increased risk of influenza and serious complications"/>
        <w:tblDescription w:val="This table lists medical conditions associated with an increased risk of influenza and serious complications, for which annual influenza vaccination is recommended. The conditions where influenza vaccination is funded by the National Immunisation Program include cardiac disease, chronic respiratory conditions, chronic neurological conditions, immunocompromising conditions, functional or anatomical asplenia, chronic metabolic disorders, and long-term aspirin therapy for children aged 5 to 10 years. Influenza vaccine is also recommended but not funded for individuals with chronic liver disease, Down syndrome, obesity, harmful use of alcohol, and children born before 37 weeks gestation. "/>
      </w:tblPr>
      <w:tblGrid>
        <w:gridCol w:w="1701"/>
        <w:gridCol w:w="4025"/>
        <w:gridCol w:w="3912"/>
      </w:tblGrid>
      <w:tr w:rsidR="008868BE" w:rsidRPr="008868BE" w14:paraId="6039E38A" w14:textId="77777777" w:rsidTr="00563AB5">
        <w:tblPrEx>
          <w:tblCellMar>
            <w:top w:w="0" w:type="dxa"/>
            <w:left w:w="0" w:type="dxa"/>
            <w:bottom w:w="0" w:type="dxa"/>
            <w:right w:w="0" w:type="dxa"/>
          </w:tblCellMar>
        </w:tblPrEx>
        <w:trPr>
          <w:trHeight w:val="20"/>
          <w:tblHeader/>
        </w:trPr>
        <w:tc>
          <w:tcPr>
            <w:tcW w:w="1701" w:type="dxa"/>
            <w:shd w:val="clear" w:color="auto" w:fill="033636" w:themeFill="text2"/>
            <w:tcMar>
              <w:top w:w="113" w:type="dxa"/>
              <w:left w:w="113" w:type="dxa"/>
              <w:bottom w:w="113" w:type="dxa"/>
              <w:right w:w="113" w:type="dxa"/>
            </w:tcMar>
            <w:vAlign w:val="center"/>
          </w:tcPr>
          <w:p w14:paraId="17284228" w14:textId="77777777" w:rsidR="008868BE" w:rsidRPr="008868BE" w:rsidRDefault="008868BE" w:rsidP="008868BE">
            <w:pPr>
              <w:pStyle w:val="CDIFigure-Table-H1Left"/>
            </w:pPr>
            <w:r w:rsidRPr="008868BE">
              <w:t>Funding category</w:t>
            </w:r>
          </w:p>
        </w:tc>
        <w:tc>
          <w:tcPr>
            <w:tcW w:w="4025" w:type="dxa"/>
            <w:shd w:val="clear" w:color="auto" w:fill="033636" w:themeFill="text2"/>
            <w:tcMar>
              <w:top w:w="113" w:type="dxa"/>
              <w:left w:w="113" w:type="dxa"/>
              <w:bottom w:w="113" w:type="dxa"/>
              <w:right w:w="113" w:type="dxa"/>
            </w:tcMar>
            <w:vAlign w:val="center"/>
          </w:tcPr>
          <w:p w14:paraId="7E7EB4D8" w14:textId="77777777" w:rsidR="008868BE" w:rsidRPr="008868BE" w:rsidRDefault="008868BE" w:rsidP="008868BE">
            <w:pPr>
              <w:pStyle w:val="CDIFigure-Table-H1Left"/>
            </w:pPr>
            <w:r w:rsidRPr="008868BE">
              <w:t>Medical category</w:t>
            </w:r>
          </w:p>
        </w:tc>
        <w:tc>
          <w:tcPr>
            <w:tcW w:w="3912" w:type="dxa"/>
            <w:shd w:val="clear" w:color="auto" w:fill="033636" w:themeFill="text2"/>
            <w:tcMar>
              <w:top w:w="113" w:type="dxa"/>
              <w:left w:w="113" w:type="dxa"/>
              <w:bottom w:w="113" w:type="dxa"/>
              <w:right w:w="113" w:type="dxa"/>
            </w:tcMar>
            <w:vAlign w:val="center"/>
          </w:tcPr>
          <w:p w14:paraId="5DECCB23" w14:textId="77777777" w:rsidR="008868BE" w:rsidRPr="008868BE" w:rsidRDefault="008868BE" w:rsidP="008868BE">
            <w:pPr>
              <w:pStyle w:val="CDIFigure-Table-H1Left"/>
            </w:pPr>
            <w:r w:rsidRPr="008868BE">
              <w:t>Medical conditions</w:t>
            </w:r>
          </w:p>
        </w:tc>
      </w:tr>
      <w:tr w:rsidR="00563AB5" w:rsidRPr="008868BE" w14:paraId="228E06AB" w14:textId="77777777" w:rsidTr="00563AB5">
        <w:tblPrEx>
          <w:tblCellMar>
            <w:top w:w="0" w:type="dxa"/>
            <w:left w:w="0" w:type="dxa"/>
            <w:bottom w:w="0" w:type="dxa"/>
            <w:right w:w="0" w:type="dxa"/>
          </w:tblCellMar>
        </w:tblPrEx>
        <w:trPr>
          <w:trHeight w:val="20"/>
        </w:trPr>
        <w:tc>
          <w:tcPr>
            <w:tcW w:w="1701" w:type="dxa"/>
            <w:vMerge w:val="restart"/>
            <w:shd w:val="clear" w:color="auto" w:fill="C5FFEF" w:themeFill="background2" w:themeFillTint="33"/>
            <w:tcMar>
              <w:top w:w="94" w:type="dxa"/>
              <w:left w:w="113" w:type="dxa"/>
              <w:bottom w:w="94" w:type="dxa"/>
              <w:right w:w="113" w:type="dxa"/>
            </w:tcMar>
            <w:vAlign w:val="center"/>
          </w:tcPr>
          <w:p w14:paraId="27DB1F91" w14:textId="77777777" w:rsidR="00563AB5" w:rsidRPr="008868BE" w:rsidRDefault="00563AB5" w:rsidP="008868BE">
            <w:pPr>
              <w:pStyle w:val="CDIFigure-Table-BodyTextLeft"/>
            </w:pPr>
            <w:r w:rsidRPr="008868BE">
              <w:t>Funded under the NIP</w:t>
            </w:r>
          </w:p>
        </w:tc>
        <w:tc>
          <w:tcPr>
            <w:tcW w:w="4025" w:type="dxa"/>
            <w:vMerge w:val="restart"/>
            <w:tcBorders>
              <w:bottom w:val="single" w:sz="4" w:space="0" w:color="033636" w:themeColor="text2"/>
            </w:tcBorders>
            <w:tcMar>
              <w:top w:w="94" w:type="dxa"/>
              <w:left w:w="113" w:type="dxa"/>
              <w:bottom w:w="94" w:type="dxa"/>
              <w:right w:w="113" w:type="dxa"/>
            </w:tcMar>
            <w:vAlign w:val="center"/>
          </w:tcPr>
          <w:p w14:paraId="1C56CFE0" w14:textId="77777777" w:rsidR="00563AB5" w:rsidRPr="008868BE" w:rsidRDefault="00563AB5" w:rsidP="008868BE">
            <w:pPr>
              <w:pStyle w:val="CDIFigure-Table-BodyTextLeft"/>
            </w:pPr>
            <w:r w:rsidRPr="008868BE">
              <w:t>Cardiac disease</w:t>
            </w:r>
          </w:p>
        </w:tc>
        <w:tc>
          <w:tcPr>
            <w:tcW w:w="3912" w:type="dxa"/>
            <w:tcMar>
              <w:top w:w="94" w:type="dxa"/>
              <w:left w:w="113" w:type="dxa"/>
              <w:bottom w:w="94" w:type="dxa"/>
              <w:right w:w="113" w:type="dxa"/>
            </w:tcMar>
            <w:vAlign w:val="center"/>
          </w:tcPr>
          <w:p w14:paraId="497181D1" w14:textId="77777777" w:rsidR="00563AB5" w:rsidRPr="008868BE" w:rsidRDefault="00563AB5" w:rsidP="008868BE">
            <w:pPr>
              <w:pStyle w:val="CDIFigure-Table-BodyTextLeft"/>
            </w:pPr>
            <w:r w:rsidRPr="008868BE">
              <w:t>Cyanotic congenital heart disease</w:t>
            </w:r>
          </w:p>
        </w:tc>
      </w:tr>
      <w:tr w:rsidR="00563AB5" w:rsidRPr="008868BE" w14:paraId="1CB8C462"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3DA29C7F"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225A8DD4" w14:textId="77777777" w:rsidR="00563AB5" w:rsidRPr="008868BE" w:rsidRDefault="00563AB5" w:rsidP="008868BE">
            <w:pPr>
              <w:pStyle w:val="CDIFigure-Table-BodyTextLeft"/>
            </w:pPr>
          </w:p>
        </w:tc>
        <w:tc>
          <w:tcPr>
            <w:tcW w:w="3912" w:type="dxa"/>
            <w:tcMar>
              <w:top w:w="94" w:type="dxa"/>
              <w:left w:w="113" w:type="dxa"/>
              <w:bottom w:w="94" w:type="dxa"/>
              <w:right w:w="113" w:type="dxa"/>
            </w:tcMar>
            <w:vAlign w:val="center"/>
          </w:tcPr>
          <w:p w14:paraId="06FFC1C1" w14:textId="77777777" w:rsidR="00563AB5" w:rsidRPr="008868BE" w:rsidRDefault="00563AB5" w:rsidP="008868BE">
            <w:pPr>
              <w:pStyle w:val="CDIFigure-Table-BodyTextLeft"/>
            </w:pPr>
            <w:r w:rsidRPr="008868BE">
              <w:t>Congestive heart failure</w:t>
            </w:r>
          </w:p>
        </w:tc>
      </w:tr>
      <w:tr w:rsidR="00563AB5" w:rsidRPr="008868BE" w14:paraId="1EC16539"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7752B113"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3A601F10" w14:textId="77777777" w:rsidR="00563AB5" w:rsidRPr="008868BE" w:rsidRDefault="00563AB5" w:rsidP="008868BE">
            <w:pPr>
              <w:pStyle w:val="CDIFigure-Table-BodyTextLeft"/>
            </w:pPr>
          </w:p>
        </w:tc>
        <w:tc>
          <w:tcPr>
            <w:tcW w:w="3912" w:type="dxa"/>
            <w:tcBorders>
              <w:bottom w:val="single" w:sz="4" w:space="0" w:color="033636" w:themeColor="text2"/>
            </w:tcBorders>
            <w:tcMar>
              <w:top w:w="94" w:type="dxa"/>
              <w:left w:w="113" w:type="dxa"/>
              <w:bottom w:w="94" w:type="dxa"/>
              <w:right w:w="113" w:type="dxa"/>
            </w:tcMar>
            <w:vAlign w:val="center"/>
          </w:tcPr>
          <w:p w14:paraId="149477B7" w14:textId="77777777" w:rsidR="00563AB5" w:rsidRPr="008868BE" w:rsidRDefault="00563AB5" w:rsidP="008868BE">
            <w:pPr>
              <w:pStyle w:val="CDIFigure-Table-BodyTextLeft"/>
            </w:pPr>
            <w:r w:rsidRPr="008868BE">
              <w:t>Coronary artery disease</w:t>
            </w:r>
          </w:p>
        </w:tc>
      </w:tr>
      <w:tr w:rsidR="00563AB5" w:rsidRPr="008868BE" w14:paraId="65012502"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7C5508F4" w14:textId="77777777" w:rsidR="00563AB5" w:rsidRPr="008868BE" w:rsidRDefault="00563AB5" w:rsidP="00563AB5">
            <w:pPr>
              <w:pStyle w:val="CDIFigure-Table-BodyTextLeft"/>
            </w:pPr>
          </w:p>
        </w:tc>
        <w:tc>
          <w:tcPr>
            <w:tcW w:w="4025" w:type="dxa"/>
            <w:vMerge w:val="restart"/>
            <w:tcBorders>
              <w:top w:val="single" w:sz="4" w:space="0" w:color="033636" w:themeColor="text2"/>
              <w:bottom w:val="single" w:sz="4" w:space="0" w:color="033636" w:themeColor="text2"/>
            </w:tcBorders>
            <w:tcMar>
              <w:top w:w="94" w:type="dxa"/>
              <w:left w:w="113" w:type="dxa"/>
              <w:bottom w:w="94" w:type="dxa"/>
              <w:right w:w="113" w:type="dxa"/>
            </w:tcMar>
            <w:vAlign w:val="center"/>
          </w:tcPr>
          <w:p w14:paraId="65458342" w14:textId="77777777" w:rsidR="00563AB5" w:rsidRPr="008868BE" w:rsidRDefault="00563AB5" w:rsidP="008868BE">
            <w:pPr>
              <w:pStyle w:val="CDIFigure-Table-BodyTextLeft"/>
            </w:pPr>
            <w:r w:rsidRPr="008868BE">
              <w:t>Chronic respiratory conditions</w:t>
            </w:r>
          </w:p>
        </w:tc>
        <w:tc>
          <w:tcPr>
            <w:tcW w:w="3912" w:type="dxa"/>
            <w:tcBorders>
              <w:top w:val="single" w:sz="4" w:space="0" w:color="033636" w:themeColor="text2"/>
            </w:tcBorders>
            <w:tcMar>
              <w:top w:w="94" w:type="dxa"/>
              <w:left w:w="113" w:type="dxa"/>
              <w:bottom w:w="94" w:type="dxa"/>
              <w:right w:w="113" w:type="dxa"/>
            </w:tcMar>
            <w:vAlign w:val="center"/>
          </w:tcPr>
          <w:p w14:paraId="36C95651" w14:textId="77777777" w:rsidR="00563AB5" w:rsidRPr="008868BE" w:rsidRDefault="00563AB5" w:rsidP="008868BE">
            <w:pPr>
              <w:pStyle w:val="CDIFigure-Table-BodyTextLeft"/>
            </w:pPr>
            <w:r w:rsidRPr="008868BE">
              <w:t xml:space="preserve">Severe </w:t>
            </w:r>
            <w:proofErr w:type="spellStart"/>
            <w:r w:rsidRPr="008868BE">
              <w:t>asthma</w:t>
            </w:r>
            <w:r w:rsidRPr="006E5645">
              <w:rPr>
                <w:vertAlign w:val="superscript"/>
              </w:rPr>
              <w:t>c</w:t>
            </w:r>
            <w:proofErr w:type="spellEnd"/>
          </w:p>
        </w:tc>
      </w:tr>
      <w:tr w:rsidR="00563AB5" w:rsidRPr="008868BE" w14:paraId="4F14309F"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77F5B7C8"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28986FBD" w14:textId="77777777" w:rsidR="00563AB5" w:rsidRPr="008868BE" w:rsidRDefault="00563AB5" w:rsidP="008868BE">
            <w:pPr>
              <w:pStyle w:val="CDIFigure-Table-BodyTextLeft"/>
            </w:pPr>
          </w:p>
        </w:tc>
        <w:tc>
          <w:tcPr>
            <w:tcW w:w="3912" w:type="dxa"/>
            <w:tcMar>
              <w:top w:w="94" w:type="dxa"/>
              <w:left w:w="113" w:type="dxa"/>
              <w:bottom w:w="94" w:type="dxa"/>
              <w:right w:w="113" w:type="dxa"/>
            </w:tcMar>
            <w:vAlign w:val="center"/>
          </w:tcPr>
          <w:p w14:paraId="7B0377B4" w14:textId="77777777" w:rsidR="00563AB5" w:rsidRPr="008868BE" w:rsidRDefault="00563AB5" w:rsidP="008868BE">
            <w:pPr>
              <w:pStyle w:val="CDIFigure-Table-BodyTextLeft"/>
            </w:pPr>
            <w:r w:rsidRPr="008868BE">
              <w:t>Cystic fibrosis</w:t>
            </w:r>
          </w:p>
        </w:tc>
      </w:tr>
      <w:tr w:rsidR="00563AB5" w:rsidRPr="008868BE" w14:paraId="174870A5"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49A23E5"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385FE3C1" w14:textId="77777777" w:rsidR="00563AB5" w:rsidRPr="008868BE" w:rsidRDefault="00563AB5" w:rsidP="008868BE">
            <w:pPr>
              <w:pStyle w:val="CDIFigure-Table-BodyTextLeft"/>
            </w:pPr>
          </w:p>
        </w:tc>
        <w:tc>
          <w:tcPr>
            <w:tcW w:w="3912" w:type="dxa"/>
            <w:tcMar>
              <w:top w:w="94" w:type="dxa"/>
              <w:left w:w="113" w:type="dxa"/>
              <w:bottom w:w="94" w:type="dxa"/>
              <w:right w:w="113" w:type="dxa"/>
            </w:tcMar>
            <w:vAlign w:val="center"/>
          </w:tcPr>
          <w:p w14:paraId="51B13B9A" w14:textId="77777777" w:rsidR="00563AB5" w:rsidRPr="008868BE" w:rsidRDefault="00563AB5" w:rsidP="008868BE">
            <w:pPr>
              <w:pStyle w:val="CDIFigure-Table-BodyTextLeft"/>
            </w:pPr>
            <w:r w:rsidRPr="008868BE">
              <w:t>Bronchiectasis</w:t>
            </w:r>
          </w:p>
        </w:tc>
      </w:tr>
      <w:tr w:rsidR="00563AB5" w:rsidRPr="008868BE" w14:paraId="71DBDE94"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1161A6B"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580068B7" w14:textId="77777777" w:rsidR="00563AB5" w:rsidRPr="008868BE" w:rsidRDefault="00563AB5" w:rsidP="008868BE">
            <w:pPr>
              <w:pStyle w:val="CDIFigure-Table-BodyTextLeft"/>
            </w:pPr>
          </w:p>
        </w:tc>
        <w:tc>
          <w:tcPr>
            <w:tcW w:w="3912" w:type="dxa"/>
            <w:tcMar>
              <w:top w:w="94" w:type="dxa"/>
              <w:left w:w="113" w:type="dxa"/>
              <w:bottom w:w="94" w:type="dxa"/>
              <w:right w:w="113" w:type="dxa"/>
            </w:tcMar>
            <w:vAlign w:val="center"/>
          </w:tcPr>
          <w:p w14:paraId="22BE1943" w14:textId="77777777" w:rsidR="00563AB5" w:rsidRPr="008868BE" w:rsidRDefault="00563AB5" w:rsidP="008868BE">
            <w:pPr>
              <w:pStyle w:val="CDIFigure-Table-BodyTextLeft"/>
            </w:pPr>
            <w:r w:rsidRPr="008868BE">
              <w:t>Suppurative lung disease</w:t>
            </w:r>
          </w:p>
        </w:tc>
      </w:tr>
      <w:tr w:rsidR="00563AB5" w:rsidRPr="008868BE" w14:paraId="60280126"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1AF6B94C"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062F50E2" w14:textId="77777777" w:rsidR="00563AB5" w:rsidRPr="008868BE" w:rsidRDefault="00563AB5" w:rsidP="008868BE">
            <w:pPr>
              <w:pStyle w:val="CDIFigure-Table-BodyTextLeft"/>
            </w:pPr>
          </w:p>
        </w:tc>
        <w:tc>
          <w:tcPr>
            <w:tcW w:w="3912" w:type="dxa"/>
            <w:tcMar>
              <w:top w:w="94" w:type="dxa"/>
              <w:left w:w="113" w:type="dxa"/>
              <w:bottom w:w="94" w:type="dxa"/>
              <w:right w:w="113" w:type="dxa"/>
            </w:tcMar>
            <w:vAlign w:val="center"/>
          </w:tcPr>
          <w:p w14:paraId="603EB163" w14:textId="77777777" w:rsidR="00563AB5" w:rsidRPr="008868BE" w:rsidRDefault="00563AB5" w:rsidP="008868BE">
            <w:pPr>
              <w:pStyle w:val="CDIFigure-Table-BodyTextLeft"/>
            </w:pPr>
            <w:r w:rsidRPr="008868BE">
              <w:t>Chronic obstructive pulmonary disease</w:t>
            </w:r>
          </w:p>
        </w:tc>
      </w:tr>
      <w:tr w:rsidR="00563AB5" w:rsidRPr="008868BE" w14:paraId="08E4403B"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79C0F501"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7A841E45" w14:textId="77777777" w:rsidR="00563AB5" w:rsidRPr="008868BE" w:rsidRDefault="00563AB5" w:rsidP="008868BE">
            <w:pPr>
              <w:pStyle w:val="CDIFigure-Table-BodyTextLeft"/>
            </w:pPr>
          </w:p>
        </w:tc>
        <w:tc>
          <w:tcPr>
            <w:tcW w:w="3912" w:type="dxa"/>
            <w:tcBorders>
              <w:bottom w:val="single" w:sz="4" w:space="0" w:color="033636" w:themeColor="text2"/>
            </w:tcBorders>
            <w:tcMar>
              <w:top w:w="94" w:type="dxa"/>
              <w:left w:w="113" w:type="dxa"/>
              <w:bottom w:w="94" w:type="dxa"/>
              <w:right w:w="113" w:type="dxa"/>
            </w:tcMar>
            <w:vAlign w:val="center"/>
          </w:tcPr>
          <w:p w14:paraId="398A4776" w14:textId="77777777" w:rsidR="00563AB5" w:rsidRPr="008868BE" w:rsidRDefault="00563AB5" w:rsidP="008868BE">
            <w:pPr>
              <w:pStyle w:val="CDIFigure-Table-BodyTextLeft"/>
            </w:pPr>
            <w:r w:rsidRPr="008868BE">
              <w:t>Chronic emphysema</w:t>
            </w:r>
          </w:p>
        </w:tc>
      </w:tr>
      <w:tr w:rsidR="00563AB5" w:rsidRPr="008868BE" w14:paraId="4E2FBC87"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3780BA0D" w14:textId="77777777" w:rsidR="00563AB5" w:rsidRPr="008868BE" w:rsidRDefault="00563AB5" w:rsidP="00563AB5">
            <w:pPr>
              <w:pStyle w:val="CDIFigure-Table-BodyTextLeft"/>
            </w:pPr>
          </w:p>
        </w:tc>
        <w:tc>
          <w:tcPr>
            <w:tcW w:w="4025" w:type="dxa"/>
            <w:vMerge w:val="restart"/>
            <w:tcBorders>
              <w:top w:val="single" w:sz="4" w:space="0" w:color="033636" w:themeColor="text2"/>
              <w:bottom w:val="single" w:sz="4" w:space="0" w:color="033636" w:themeColor="text2"/>
            </w:tcBorders>
            <w:tcMar>
              <w:top w:w="94" w:type="dxa"/>
              <w:left w:w="113" w:type="dxa"/>
              <w:bottom w:w="94" w:type="dxa"/>
              <w:right w:w="113" w:type="dxa"/>
            </w:tcMar>
            <w:vAlign w:val="center"/>
          </w:tcPr>
          <w:p w14:paraId="606E5B6A" w14:textId="77777777" w:rsidR="00563AB5" w:rsidRPr="008868BE" w:rsidRDefault="00563AB5" w:rsidP="008868BE">
            <w:pPr>
              <w:pStyle w:val="CDIFigure-Table-BodyTextLeft"/>
            </w:pPr>
            <w:r w:rsidRPr="008868BE">
              <w:t>Chronic neurological conditions</w:t>
            </w:r>
          </w:p>
        </w:tc>
        <w:tc>
          <w:tcPr>
            <w:tcW w:w="3912" w:type="dxa"/>
            <w:tcBorders>
              <w:top w:val="single" w:sz="4" w:space="0" w:color="033636" w:themeColor="text2"/>
            </w:tcBorders>
            <w:tcMar>
              <w:top w:w="94" w:type="dxa"/>
              <w:left w:w="113" w:type="dxa"/>
              <w:bottom w:w="94" w:type="dxa"/>
              <w:right w:w="113" w:type="dxa"/>
            </w:tcMar>
            <w:vAlign w:val="center"/>
          </w:tcPr>
          <w:p w14:paraId="04B5D16C" w14:textId="77777777" w:rsidR="00563AB5" w:rsidRPr="008868BE" w:rsidRDefault="00563AB5" w:rsidP="008868BE">
            <w:pPr>
              <w:pStyle w:val="CDIFigure-Table-BodyTextLeft"/>
            </w:pPr>
            <w:r w:rsidRPr="008868BE">
              <w:t>Hereditary and degenerative CNS diseases</w:t>
            </w:r>
          </w:p>
        </w:tc>
      </w:tr>
      <w:tr w:rsidR="00563AB5" w:rsidRPr="008868BE" w14:paraId="72D7BDD1"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18606BE6"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46181CC3" w14:textId="77777777" w:rsidR="00563AB5" w:rsidRPr="008868BE" w:rsidRDefault="00563AB5" w:rsidP="008868BE"/>
        </w:tc>
        <w:tc>
          <w:tcPr>
            <w:tcW w:w="3912" w:type="dxa"/>
            <w:tcMar>
              <w:top w:w="94" w:type="dxa"/>
              <w:left w:w="113" w:type="dxa"/>
              <w:bottom w:w="94" w:type="dxa"/>
              <w:right w:w="113" w:type="dxa"/>
            </w:tcMar>
            <w:vAlign w:val="center"/>
          </w:tcPr>
          <w:p w14:paraId="26144640" w14:textId="77777777" w:rsidR="00563AB5" w:rsidRPr="008868BE" w:rsidRDefault="00563AB5" w:rsidP="008868BE">
            <w:pPr>
              <w:pStyle w:val="CDIFigure-Table-BodyTextLeft"/>
            </w:pPr>
            <w:r w:rsidRPr="008868BE">
              <w:t>Seizure disorders</w:t>
            </w:r>
          </w:p>
        </w:tc>
      </w:tr>
      <w:tr w:rsidR="00563AB5" w:rsidRPr="008868BE" w14:paraId="314AFD6C"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99A0072"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041009A2" w14:textId="77777777" w:rsidR="00563AB5" w:rsidRPr="008868BE" w:rsidRDefault="00563AB5" w:rsidP="008868BE"/>
        </w:tc>
        <w:tc>
          <w:tcPr>
            <w:tcW w:w="3912" w:type="dxa"/>
            <w:tcMar>
              <w:top w:w="94" w:type="dxa"/>
              <w:left w:w="113" w:type="dxa"/>
              <w:bottom w:w="94" w:type="dxa"/>
              <w:right w:w="113" w:type="dxa"/>
            </w:tcMar>
            <w:vAlign w:val="center"/>
          </w:tcPr>
          <w:p w14:paraId="764E34C2" w14:textId="77777777" w:rsidR="00563AB5" w:rsidRPr="008868BE" w:rsidRDefault="00563AB5" w:rsidP="008868BE">
            <w:pPr>
              <w:pStyle w:val="CDIFigure-Table-BodyTextLeft"/>
            </w:pPr>
            <w:r w:rsidRPr="008868BE">
              <w:t>Spinal cord injuries</w:t>
            </w:r>
          </w:p>
        </w:tc>
      </w:tr>
      <w:tr w:rsidR="00563AB5" w:rsidRPr="008868BE" w14:paraId="5C5FBC2A"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24E8F752"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1864CB86" w14:textId="77777777" w:rsidR="00563AB5" w:rsidRPr="008868BE" w:rsidRDefault="00563AB5" w:rsidP="008868BE"/>
        </w:tc>
        <w:tc>
          <w:tcPr>
            <w:tcW w:w="3912" w:type="dxa"/>
            <w:tcBorders>
              <w:bottom w:val="single" w:sz="4" w:space="0" w:color="033636" w:themeColor="text2"/>
            </w:tcBorders>
            <w:tcMar>
              <w:top w:w="94" w:type="dxa"/>
              <w:left w:w="113" w:type="dxa"/>
              <w:bottom w:w="94" w:type="dxa"/>
              <w:right w:w="113" w:type="dxa"/>
            </w:tcMar>
            <w:vAlign w:val="center"/>
          </w:tcPr>
          <w:p w14:paraId="6DE09923" w14:textId="77777777" w:rsidR="00563AB5" w:rsidRPr="008868BE" w:rsidRDefault="00563AB5" w:rsidP="00563AB5">
            <w:pPr>
              <w:pStyle w:val="CDIFigure-Table-BodyTextLeft"/>
            </w:pPr>
            <w:r w:rsidRPr="008868BE">
              <w:t>Neuromuscular disorders</w:t>
            </w:r>
          </w:p>
        </w:tc>
      </w:tr>
      <w:tr w:rsidR="00563AB5" w:rsidRPr="008868BE" w14:paraId="6521CEFC"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FC27930" w14:textId="77777777" w:rsidR="00563AB5" w:rsidRPr="008868BE" w:rsidRDefault="00563AB5" w:rsidP="00563AB5">
            <w:pPr>
              <w:pStyle w:val="CDIFigure-Table-BodyTextLeft"/>
            </w:pPr>
          </w:p>
        </w:tc>
        <w:tc>
          <w:tcPr>
            <w:tcW w:w="4025" w:type="dxa"/>
            <w:vMerge w:val="restart"/>
            <w:tcBorders>
              <w:top w:val="single" w:sz="4" w:space="0" w:color="033636" w:themeColor="text2"/>
              <w:bottom w:val="single" w:sz="4" w:space="0" w:color="033636" w:themeColor="text2"/>
            </w:tcBorders>
            <w:tcMar>
              <w:top w:w="94" w:type="dxa"/>
              <w:left w:w="113" w:type="dxa"/>
              <w:bottom w:w="94" w:type="dxa"/>
              <w:right w:w="113" w:type="dxa"/>
            </w:tcMar>
            <w:vAlign w:val="center"/>
          </w:tcPr>
          <w:p w14:paraId="42B00FC9" w14:textId="77777777" w:rsidR="00563AB5" w:rsidRPr="008868BE" w:rsidRDefault="00563AB5" w:rsidP="00563AB5">
            <w:pPr>
              <w:pStyle w:val="CDIFigure-Table-BodyTextLeft"/>
            </w:pPr>
            <w:r w:rsidRPr="008868BE">
              <w:t>Immunocompromising conditions</w:t>
            </w:r>
          </w:p>
        </w:tc>
        <w:tc>
          <w:tcPr>
            <w:tcW w:w="3912" w:type="dxa"/>
            <w:tcBorders>
              <w:top w:val="single" w:sz="4" w:space="0" w:color="033636" w:themeColor="text2"/>
            </w:tcBorders>
            <w:tcMar>
              <w:top w:w="94" w:type="dxa"/>
              <w:left w:w="113" w:type="dxa"/>
              <w:bottom w:w="94" w:type="dxa"/>
              <w:right w:w="113" w:type="dxa"/>
            </w:tcMar>
            <w:vAlign w:val="center"/>
          </w:tcPr>
          <w:p w14:paraId="775A7AB1" w14:textId="77777777" w:rsidR="00563AB5" w:rsidRPr="008868BE" w:rsidRDefault="00563AB5" w:rsidP="00563AB5">
            <w:pPr>
              <w:pStyle w:val="CDIFigure-Table-BodyTextLeft"/>
            </w:pPr>
            <w:r w:rsidRPr="008868BE">
              <w:t>Haematopoietic stem cell transplant</w:t>
            </w:r>
          </w:p>
        </w:tc>
      </w:tr>
      <w:tr w:rsidR="00563AB5" w:rsidRPr="008868BE" w14:paraId="6DE71F26"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D0E8EF5"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128F3F0C" w14:textId="77777777" w:rsidR="00563AB5" w:rsidRPr="008868BE" w:rsidRDefault="00563AB5" w:rsidP="00563AB5">
            <w:pPr>
              <w:pStyle w:val="CDIFigure-Table-BodyTextLeft"/>
            </w:pPr>
          </w:p>
        </w:tc>
        <w:tc>
          <w:tcPr>
            <w:tcW w:w="3912" w:type="dxa"/>
            <w:tcMar>
              <w:top w:w="94" w:type="dxa"/>
              <w:left w:w="113" w:type="dxa"/>
              <w:bottom w:w="94" w:type="dxa"/>
              <w:right w:w="113" w:type="dxa"/>
            </w:tcMar>
            <w:vAlign w:val="center"/>
          </w:tcPr>
          <w:p w14:paraId="1C72745F" w14:textId="77777777" w:rsidR="00563AB5" w:rsidRPr="008868BE" w:rsidRDefault="00563AB5" w:rsidP="00563AB5">
            <w:pPr>
              <w:pStyle w:val="CDIFigure-Table-BodyTextLeft"/>
            </w:pPr>
            <w:r w:rsidRPr="008868BE">
              <w:t>Malignancy</w:t>
            </w:r>
          </w:p>
        </w:tc>
      </w:tr>
      <w:tr w:rsidR="00563AB5" w:rsidRPr="008868BE" w14:paraId="530A2F1E"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6A2EF50"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43C3A94D" w14:textId="77777777" w:rsidR="00563AB5" w:rsidRPr="008868BE" w:rsidRDefault="00563AB5" w:rsidP="00563AB5">
            <w:pPr>
              <w:pStyle w:val="CDIFigure-Table-BodyTextLeft"/>
            </w:pPr>
          </w:p>
        </w:tc>
        <w:tc>
          <w:tcPr>
            <w:tcW w:w="3912" w:type="dxa"/>
            <w:tcMar>
              <w:top w:w="94" w:type="dxa"/>
              <w:left w:w="113" w:type="dxa"/>
              <w:bottom w:w="94" w:type="dxa"/>
              <w:right w:w="113" w:type="dxa"/>
            </w:tcMar>
            <w:vAlign w:val="center"/>
          </w:tcPr>
          <w:p w14:paraId="4442D5A0" w14:textId="77777777" w:rsidR="00563AB5" w:rsidRPr="008868BE" w:rsidRDefault="00563AB5" w:rsidP="00563AB5">
            <w:pPr>
              <w:pStyle w:val="CDIFigure-Table-BodyTextLeft"/>
            </w:pPr>
            <w:r w:rsidRPr="008868BE">
              <w:t>Chronic steroid use</w:t>
            </w:r>
          </w:p>
        </w:tc>
      </w:tr>
      <w:tr w:rsidR="00563AB5" w:rsidRPr="008868BE" w14:paraId="44574E92"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48BE837D"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4FC73A56" w14:textId="77777777" w:rsidR="00563AB5" w:rsidRPr="008868BE" w:rsidRDefault="00563AB5" w:rsidP="00563AB5">
            <w:pPr>
              <w:pStyle w:val="CDIFigure-Table-BodyTextLeft"/>
            </w:pPr>
          </w:p>
        </w:tc>
        <w:tc>
          <w:tcPr>
            <w:tcW w:w="3912" w:type="dxa"/>
            <w:tcMar>
              <w:top w:w="94" w:type="dxa"/>
              <w:left w:w="113" w:type="dxa"/>
              <w:bottom w:w="94" w:type="dxa"/>
              <w:right w:w="113" w:type="dxa"/>
            </w:tcMar>
            <w:vAlign w:val="center"/>
          </w:tcPr>
          <w:p w14:paraId="2915CC9C" w14:textId="77777777" w:rsidR="00563AB5" w:rsidRPr="008868BE" w:rsidRDefault="00563AB5" w:rsidP="00563AB5">
            <w:pPr>
              <w:pStyle w:val="CDIFigure-Table-BodyTextLeft"/>
            </w:pPr>
            <w:r w:rsidRPr="008868BE">
              <w:t>Solid organ transplant</w:t>
            </w:r>
          </w:p>
        </w:tc>
      </w:tr>
      <w:tr w:rsidR="00563AB5" w:rsidRPr="008868BE" w14:paraId="2AB777AF"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646DFEF8"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6ADB5851" w14:textId="77777777" w:rsidR="00563AB5" w:rsidRPr="008868BE" w:rsidRDefault="00563AB5" w:rsidP="00563AB5">
            <w:pPr>
              <w:pStyle w:val="CDIFigure-Table-BodyTextLeft"/>
            </w:pPr>
          </w:p>
        </w:tc>
        <w:tc>
          <w:tcPr>
            <w:tcW w:w="3912" w:type="dxa"/>
            <w:tcBorders>
              <w:bottom w:val="single" w:sz="4" w:space="0" w:color="033636" w:themeColor="text2"/>
            </w:tcBorders>
            <w:tcMar>
              <w:top w:w="94" w:type="dxa"/>
              <w:left w:w="113" w:type="dxa"/>
              <w:bottom w:w="94" w:type="dxa"/>
              <w:right w:w="113" w:type="dxa"/>
            </w:tcMar>
            <w:vAlign w:val="center"/>
          </w:tcPr>
          <w:p w14:paraId="7BD80EAA" w14:textId="77777777" w:rsidR="00563AB5" w:rsidRPr="008868BE" w:rsidRDefault="00563AB5" w:rsidP="00563AB5">
            <w:pPr>
              <w:pStyle w:val="CDIFigure-Table-BodyTextLeft"/>
            </w:pPr>
            <w:r w:rsidRPr="008868BE">
              <w:t>HIV infection</w:t>
            </w:r>
          </w:p>
        </w:tc>
      </w:tr>
      <w:tr w:rsidR="00563AB5" w:rsidRPr="008868BE" w14:paraId="04988D30"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B774C04" w14:textId="77777777" w:rsidR="00563AB5" w:rsidRPr="008868BE" w:rsidRDefault="00563AB5" w:rsidP="00563AB5">
            <w:pPr>
              <w:pStyle w:val="CDIFigure-Table-BodyTextLeft"/>
            </w:pPr>
          </w:p>
        </w:tc>
        <w:tc>
          <w:tcPr>
            <w:tcW w:w="4025" w:type="dxa"/>
            <w:vMerge w:val="restart"/>
            <w:tcBorders>
              <w:top w:val="single" w:sz="4" w:space="0" w:color="033636" w:themeColor="text2"/>
              <w:bottom w:val="single" w:sz="4" w:space="0" w:color="033636" w:themeColor="text2"/>
            </w:tcBorders>
            <w:tcMar>
              <w:top w:w="94" w:type="dxa"/>
              <w:left w:w="113" w:type="dxa"/>
              <w:bottom w:w="94" w:type="dxa"/>
              <w:right w:w="113" w:type="dxa"/>
            </w:tcMar>
            <w:vAlign w:val="center"/>
          </w:tcPr>
          <w:p w14:paraId="0AAC0E52" w14:textId="77777777" w:rsidR="00563AB5" w:rsidRPr="008868BE" w:rsidRDefault="00563AB5" w:rsidP="00563AB5">
            <w:pPr>
              <w:pStyle w:val="CDIFigure-Table-BodyTextLeft"/>
            </w:pPr>
            <w:r w:rsidRPr="008868BE">
              <w:t>Functional or anatomical asplenia</w:t>
            </w:r>
          </w:p>
        </w:tc>
        <w:tc>
          <w:tcPr>
            <w:tcW w:w="3912" w:type="dxa"/>
            <w:tcBorders>
              <w:top w:val="single" w:sz="4" w:space="0" w:color="033636" w:themeColor="text2"/>
            </w:tcBorders>
            <w:tcMar>
              <w:top w:w="94" w:type="dxa"/>
              <w:left w:w="113" w:type="dxa"/>
              <w:bottom w:w="94" w:type="dxa"/>
              <w:right w:w="113" w:type="dxa"/>
            </w:tcMar>
            <w:vAlign w:val="center"/>
          </w:tcPr>
          <w:p w14:paraId="05AE239A" w14:textId="77777777" w:rsidR="00563AB5" w:rsidRPr="008868BE" w:rsidRDefault="00563AB5" w:rsidP="00563AB5">
            <w:pPr>
              <w:pStyle w:val="CDIFigure-Table-BodyTextLeft"/>
            </w:pPr>
            <w:r w:rsidRPr="008868BE">
              <w:t>Sickle cell disease or other haemoglobinopathies</w:t>
            </w:r>
          </w:p>
        </w:tc>
      </w:tr>
      <w:tr w:rsidR="00563AB5" w:rsidRPr="008868BE" w14:paraId="78FC744D"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6B6D0D6D"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51A90821" w14:textId="77777777" w:rsidR="00563AB5" w:rsidRPr="008868BE" w:rsidRDefault="00563AB5" w:rsidP="00563AB5">
            <w:pPr>
              <w:pStyle w:val="CDIFigure-Table-BodyTextLeft"/>
            </w:pPr>
          </w:p>
        </w:tc>
        <w:tc>
          <w:tcPr>
            <w:tcW w:w="3912" w:type="dxa"/>
            <w:tcBorders>
              <w:bottom w:val="single" w:sz="4" w:space="0" w:color="033636" w:themeColor="text2"/>
            </w:tcBorders>
            <w:tcMar>
              <w:top w:w="94" w:type="dxa"/>
              <w:left w:w="113" w:type="dxa"/>
              <w:bottom w:w="94" w:type="dxa"/>
              <w:right w:w="113" w:type="dxa"/>
            </w:tcMar>
            <w:vAlign w:val="center"/>
          </w:tcPr>
          <w:p w14:paraId="5CA9CBCE" w14:textId="77777777" w:rsidR="00563AB5" w:rsidRPr="008868BE" w:rsidRDefault="00563AB5" w:rsidP="00563AB5">
            <w:pPr>
              <w:pStyle w:val="CDIFigure-Table-BodyTextLeft"/>
            </w:pPr>
            <w:r w:rsidRPr="008868BE">
              <w:t xml:space="preserve">Congenital or acquired asplenia (for example, splenectomy) or </w:t>
            </w:r>
            <w:proofErr w:type="spellStart"/>
            <w:r w:rsidRPr="008868BE">
              <w:t>hyposplenia</w:t>
            </w:r>
            <w:proofErr w:type="spellEnd"/>
          </w:p>
        </w:tc>
      </w:tr>
      <w:tr w:rsidR="00563AB5" w:rsidRPr="008868BE" w14:paraId="42B92C39"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08069F58" w14:textId="77777777" w:rsidR="00563AB5" w:rsidRPr="008868BE" w:rsidRDefault="00563AB5" w:rsidP="00563AB5">
            <w:pPr>
              <w:pStyle w:val="CDIFigure-Table-BodyTextLeft"/>
            </w:pPr>
          </w:p>
        </w:tc>
        <w:tc>
          <w:tcPr>
            <w:tcW w:w="4025" w:type="dxa"/>
            <w:vMerge w:val="restart"/>
            <w:tcBorders>
              <w:top w:val="single" w:sz="4" w:space="0" w:color="033636" w:themeColor="text2"/>
              <w:bottom w:val="single" w:sz="4" w:space="0" w:color="033636" w:themeColor="text2"/>
            </w:tcBorders>
            <w:tcMar>
              <w:top w:w="94" w:type="dxa"/>
              <w:left w:w="113" w:type="dxa"/>
              <w:bottom w:w="94" w:type="dxa"/>
              <w:right w:w="113" w:type="dxa"/>
            </w:tcMar>
            <w:vAlign w:val="center"/>
          </w:tcPr>
          <w:p w14:paraId="011B9FB5" w14:textId="77777777" w:rsidR="00563AB5" w:rsidRPr="008868BE" w:rsidRDefault="00563AB5" w:rsidP="00563AB5">
            <w:pPr>
              <w:pStyle w:val="CDIFigure-Table-BodyTextLeft"/>
            </w:pPr>
            <w:r w:rsidRPr="008868BE">
              <w:t>Chronic metabolic disorders</w:t>
            </w:r>
          </w:p>
        </w:tc>
        <w:tc>
          <w:tcPr>
            <w:tcW w:w="3912" w:type="dxa"/>
            <w:tcBorders>
              <w:top w:val="single" w:sz="4" w:space="0" w:color="033636" w:themeColor="text2"/>
            </w:tcBorders>
            <w:tcMar>
              <w:top w:w="94" w:type="dxa"/>
              <w:left w:w="113" w:type="dxa"/>
              <w:bottom w:w="94" w:type="dxa"/>
              <w:right w:w="113" w:type="dxa"/>
            </w:tcMar>
            <w:vAlign w:val="center"/>
          </w:tcPr>
          <w:p w14:paraId="1BCA80BA" w14:textId="77777777" w:rsidR="00563AB5" w:rsidRPr="008868BE" w:rsidRDefault="00563AB5" w:rsidP="00563AB5">
            <w:pPr>
              <w:pStyle w:val="CDIFigure-Table-BodyTextLeft"/>
            </w:pPr>
            <w:r w:rsidRPr="008868BE">
              <w:t>Type 1 or 2 diabetes</w:t>
            </w:r>
          </w:p>
        </w:tc>
      </w:tr>
      <w:tr w:rsidR="00563AB5" w:rsidRPr="008868BE" w14:paraId="4DD03DA8"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54E26514"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0C4C94AC" w14:textId="77777777" w:rsidR="00563AB5" w:rsidRPr="008868BE" w:rsidRDefault="00563AB5" w:rsidP="008868BE"/>
        </w:tc>
        <w:tc>
          <w:tcPr>
            <w:tcW w:w="3912" w:type="dxa"/>
            <w:tcMar>
              <w:top w:w="94" w:type="dxa"/>
              <w:left w:w="113" w:type="dxa"/>
              <w:bottom w:w="94" w:type="dxa"/>
              <w:right w:w="113" w:type="dxa"/>
            </w:tcMar>
            <w:vAlign w:val="center"/>
          </w:tcPr>
          <w:p w14:paraId="70F04D3E" w14:textId="77777777" w:rsidR="00563AB5" w:rsidRPr="008868BE" w:rsidRDefault="00563AB5" w:rsidP="00563AB5">
            <w:pPr>
              <w:pStyle w:val="CDIFigure-Table-BodyTextLeft"/>
            </w:pPr>
            <w:r w:rsidRPr="008868BE">
              <w:t>Amino acid disorders</w:t>
            </w:r>
          </w:p>
        </w:tc>
      </w:tr>
      <w:tr w:rsidR="00563AB5" w:rsidRPr="008868BE" w14:paraId="248FEB25"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48DA32DE"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75DE4A82" w14:textId="77777777" w:rsidR="00563AB5" w:rsidRPr="008868BE" w:rsidRDefault="00563AB5" w:rsidP="008868BE"/>
        </w:tc>
        <w:tc>
          <w:tcPr>
            <w:tcW w:w="3912" w:type="dxa"/>
            <w:tcMar>
              <w:top w:w="94" w:type="dxa"/>
              <w:left w:w="113" w:type="dxa"/>
              <w:bottom w:w="94" w:type="dxa"/>
              <w:right w:w="113" w:type="dxa"/>
            </w:tcMar>
            <w:vAlign w:val="center"/>
          </w:tcPr>
          <w:p w14:paraId="6BDD5196" w14:textId="77777777" w:rsidR="00563AB5" w:rsidRPr="008868BE" w:rsidRDefault="00563AB5" w:rsidP="00563AB5">
            <w:pPr>
              <w:pStyle w:val="CDIFigure-Table-BodyTextLeft"/>
            </w:pPr>
            <w:r w:rsidRPr="008868BE">
              <w:t>Carbohydrate disorders</w:t>
            </w:r>
          </w:p>
        </w:tc>
      </w:tr>
      <w:tr w:rsidR="00563AB5" w:rsidRPr="008868BE" w14:paraId="137C1846"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403CA376"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7157C878" w14:textId="77777777" w:rsidR="00563AB5" w:rsidRPr="008868BE" w:rsidRDefault="00563AB5" w:rsidP="008868BE"/>
        </w:tc>
        <w:tc>
          <w:tcPr>
            <w:tcW w:w="3912" w:type="dxa"/>
            <w:tcMar>
              <w:top w:w="94" w:type="dxa"/>
              <w:left w:w="113" w:type="dxa"/>
              <w:bottom w:w="94" w:type="dxa"/>
              <w:right w:w="113" w:type="dxa"/>
            </w:tcMar>
            <w:vAlign w:val="center"/>
          </w:tcPr>
          <w:p w14:paraId="4FB2A54B" w14:textId="77777777" w:rsidR="00563AB5" w:rsidRPr="008868BE" w:rsidRDefault="00563AB5" w:rsidP="00563AB5">
            <w:pPr>
              <w:pStyle w:val="CDIFigure-Table-BodyTextLeft"/>
            </w:pPr>
            <w:r w:rsidRPr="008868BE">
              <w:t>Cholesterol biosynthesis disorders</w:t>
            </w:r>
          </w:p>
        </w:tc>
      </w:tr>
      <w:tr w:rsidR="00563AB5" w:rsidRPr="008868BE" w14:paraId="254D7A5D"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1ABBE9BB"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36027C88" w14:textId="77777777" w:rsidR="00563AB5" w:rsidRPr="008868BE" w:rsidRDefault="00563AB5" w:rsidP="008868BE"/>
        </w:tc>
        <w:tc>
          <w:tcPr>
            <w:tcW w:w="3912" w:type="dxa"/>
            <w:tcMar>
              <w:top w:w="94" w:type="dxa"/>
              <w:left w:w="113" w:type="dxa"/>
              <w:bottom w:w="94" w:type="dxa"/>
              <w:right w:w="113" w:type="dxa"/>
            </w:tcMar>
            <w:vAlign w:val="center"/>
          </w:tcPr>
          <w:p w14:paraId="18703FD5" w14:textId="77777777" w:rsidR="00563AB5" w:rsidRPr="008868BE" w:rsidRDefault="00563AB5" w:rsidP="00563AB5">
            <w:pPr>
              <w:pStyle w:val="CDIFigure-Table-BodyTextLeft"/>
            </w:pPr>
            <w:r w:rsidRPr="008868BE">
              <w:t>Fatty acid oxidation defects, lactic acidosis</w:t>
            </w:r>
          </w:p>
        </w:tc>
      </w:tr>
      <w:tr w:rsidR="00563AB5" w:rsidRPr="008868BE" w14:paraId="5DE64E97"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285C0D2A"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6E71D3C1" w14:textId="77777777" w:rsidR="00563AB5" w:rsidRPr="008868BE" w:rsidRDefault="00563AB5" w:rsidP="008868BE"/>
        </w:tc>
        <w:tc>
          <w:tcPr>
            <w:tcW w:w="3912" w:type="dxa"/>
            <w:tcMar>
              <w:top w:w="94" w:type="dxa"/>
              <w:left w:w="113" w:type="dxa"/>
              <w:bottom w:w="94" w:type="dxa"/>
              <w:right w:w="113" w:type="dxa"/>
            </w:tcMar>
            <w:vAlign w:val="center"/>
          </w:tcPr>
          <w:p w14:paraId="1FD5889A" w14:textId="77777777" w:rsidR="00563AB5" w:rsidRPr="008868BE" w:rsidRDefault="00563AB5" w:rsidP="00563AB5">
            <w:pPr>
              <w:pStyle w:val="CDIFigure-Table-BodyTextLeft"/>
            </w:pPr>
            <w:r w:rsidRPr="008868BE">
              <w:t>Mitochondrial disorders</w:t>
            </w:r>
          </w:p>
        </w:tc>
      </w:tr>
      <w:tr w:rsidR="00563AB5" w:rsidRPr="008868BE" w14:paraId="6F33735F"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6761DE1B"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30929730" w14:textId="77777777" w:rsidR="00563AB5" w:rsidRPr="008868BE" w:rsidRDefault="00563AB5" w:rsidP="008868BE"/>
        </w:tc>
        <w:tc>
          <w:tcPr>
            <w:tcW w:w="3912" w:type="dxa"/>
            <w:tcMar>
              <w:top w:w="94" w:type="dxa"/>
              <w:left w:w="113" w:type="dxa"/>
              <w:bottom w:w="94" w:type="dxa"/>
              <w:right w:w="113" w:type="dxa"/>
            </w:tcMar>
            <w:vAlign w:val="center"/>
          </w:tcPr>
          <w:p w14:paraId="02BEDD10" w14:textId="77777777" w:rsidR="00563AB5" w:rsidRPr="008868BE" w:rsidRDefault="00563AB5" w:rsidP="00563AB5">
            <w:pPr>
              <w:pStyle w:val="CDIFigure-Table-BodyTextLeft"/>
            </w:pPr>
            <w:r w:rsidRPr="008868BE">
              <w:t>Organic acid disorders</w:t>
            </w:r>
          </w:p>
        </w:tc>
      </w:tr>
      <w:tr w:rsidR="00563AB5" w:rsidRPr="008868BE" w14:paraId="080A8992"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23DDE513"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12A9C121" w14:textId="77777777" w:rsidR="00563AB5" w:rsidRPr="008868BE" w:rsidRDefault="00563AB5" w:rsidP="008868BE"/>
        </w:tc>
        <w:tc>
          <w:tcPr>
            <w:tcW w:w="3912" w:type="dxa"/>
            <w:tcMar>
              <w:top w:w="94" w:type="dxa"/>
              <w:left w:w="113" w:type="dxa"/>
              <w:bottom w:w="94" w:type="dxa"/>
              <w:right w:w="113" w:type="dxa"/>
            </w:tcMar>
            <w:vAlign w:val="center"/>
          </w:tcPr>
          <w:p w14:paraId="1562BD72" w14:textId="77777777" w:rsidR="00563AB5" w:rsidRPr="008868BE" w:rsidRDefault="00563AB5" w:rsidP="00563AB5">
            <w:pPr>
              <w:pStyle w:val="CDIFigure-Table-BodyTextLeft"/>
            </w:pPr>
            <w:r w:rsidRPr="008868BE">
              <w:t>Urea cycle disorders</w:t>
            </w:r>
          </w:p>
        </w:tc>
      </w:tr>
      <w:tr w:rsidR="00563AB5" w:rsidRPr="008868BE" w14:paraId="21B7DE71"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174C60A3"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68240256" w14:textId="77777777" w:rsidR="00563AB5" w:rsidRPr="008868BE" w:rsidRDefault="00563AB5" w:rsidP="008868BE"/>
        </w:tc>
        <w:tc>
          <w:tcPr>
            <w:tcW w:w="3912" w:type="dxa"/>
            <w:tcMar>
              <w:top w:w="94" w:type="dxa"/>
              <w:left w:w="113" w:type="dxa"/>
              <w:bottom w:w="94" w:type="dxa"/>
              <w:right w:w="113" w:type="dxa"/>
            </w:tcMar>
            <w:vAlign w:val="center"/>
          </w:tcPr>
          <w:p w14:paraId="487A9521" w14:textId="77777777" w:rsidR="00563AB5" w:rsidRPr="008868BE" w:rsidRDefault="00563AB5" w:rsidP="00563AB5">
            <w:pPr>
              <w:pStyle w:val="CDIFigure-Table-BodyTextLeft"/>
            </w:pPr>
            <w:r w:rsidRPr="008868BE">
              <w:t>Vitamin/cofactor disorders</w:t>
            </w:r>
          </w:p>
        </w:tc>
      </w:tr>
      <w:tr w:rsidR="00563AB5" w:rsidRPr="008868BE" w14:paraId="13A46CEF" w14:textId="77777777" w:rsidTr="00563AB5">
        <w:tblPrEx>
          <w:tblCellMar>
            <w:top w:w="0" w:type="dxa"/>
            <w:left w:w="0" w:type="dxa"/>
            <w:bottom w:w="0" w:type="dxa"/>
            <w:right w:w="0" w:type="dxa"/>
          </w:tblCellMar>
        </w:tblPrEx>
        <w:trPr>
          <w:trHeight w:val="20"/>
        </w:trPr>
        <w:tc>
          <w:tcPr>
            <w:tcW w:w="1701" w:type="dxa"/>
            <w:vMerge/>
            <w:shd w:val="clear" w:color="auto" w:fill="C5FFEF" w:themeFill="background2" w:themeFillTint="33"/>
          </w:tcPr>
          <w:p w14:paraId="25DD6B85" w14:textId="77777777" w:rsidR="00563AB5" w:rsidRPr="008868BE" w:rsidRDefault="00563AB5" w:rsidP="00563AB5">
            <w:pPr>
              <w:pStyle w:val="CDIFigure-Table-BodyTextLeft"/>
            </w:pPr>
          </w:p>
        </w:tc>
        <w:tc>
          <w:tcPr>
            <w:tcW w:w="4025" w:type="dxa"/>
            <w:vMerge/>
            <w:tcBorders>
              <w:bottom w:val="single" w:sz="4" w:space="0" w:color="033636" w:themeColor="text2"/>
            </w:tcBorders>
          </w:tcPr>
          <w:p w14:paraId="3A729852" w14:textId="77777777" w:rsidR="00563AB5" w:rsidRPr="008868BE" w:rsidRDefault="00563AB5" w:rsidP="008868BE"/>
        </w:tc>
        <w:tc>
          <w:tcPr>
            <w:tcW w:w="3912" w:type="dxa"/>
            <w:tcBorders>
              <w:bottom w:val="single" w:sz="4" w:space="0" w:color="033636" w:themeColor="text2"/>
            </w:tcBorders>
            <w:tcMar>
              <w:top w:w="94" w:type="dxa"/>
              <w:left w:w="113" w:type="dxa"/>
              <w:bottom w:w="94" w:type="dxa"/>
              <w:right w:w="113" w:type="dxa"/>
            </w:tcMar>
            <w:vAlign w:val="center"/>
          </w:tcPr>
          <w:p w14:paraId="594A54CF" w14:textId="77777777" w:rsidR="00563AB5" w:rsidRPr="008868BE" w:rsidRDefault="00563AB5" w:rsidP="00563AB5">
            <w:pPr>
              <w:pStyle w:val="CDIFigure-Table-BodyTextLeft"/>
            </w:pPr>
            <w:r w:rsidRPr="008868BE">
              <w:t>Porphyria</w:t>
            </w:r>
          </w:p>
        </w:tc>
      </w:tr>
      <w:tr w:rsidR="00563AB5" w:rsidRPr="008868BE" w14:paraId="0E913C93" w14:textId="77777777" w:rsidTr="00563AB5">
        <w:tblPrEx>
          <w:tblCellMar>
            <w:top w:w="0" w:type="dxa"/>
            <w:left w:w="0" w:type="dxa"/>
            <w:bottom w:w="0" w:type="dxa"/>
            <w:right w:w="0" w:type="dxa"/>
          </w:tblCellMar>
        </w:tblPrEx>
        <w:trPr>
          <w:trHeight w:val="20"/>
        </w:trPr>
        <w:tc>
          <w:tcPr>
            <w:tcW w:w="1701" w:type="dxa"/>
            <w:vMerge w:val="restart"/>
            <w:tcBorders>
              <w:bottom w:val="single" w:sz="4" w:space="0" w:color="033636" w:themeColor="text2"/>
            </w:tcBorders>
            <w:shd w:val="clear" w:color="auto" w:fill="C5FFEF" w:themeFill="background2" w:themeFillTint="33"/>
          </w:tcPr>
          <w:p w14:paraId="25F3B73C" w14:textId="77777777" w:rsidR="00563AB5" w:rsidRPr="008868BE" w:rsidRDefault="00563AB5" w:rsidP="00563AB5">
            <w:pPr>
              <w:pStyle w:val="CDIFigure-Table-BodyTextLeft"/>
              <w:keepNext/>
            </w:pPr>
          </w:p>
        </w:tc>
        <w:tc>
          <w:tcPr>
            <w:tcW w:w="4025" w:type="dxa"/>
            <w:tcBorders>
              <w:top w:val="single" w:sz="4" w:space="0" w:color="033636" w:themeColor="text2"/>
            </w:tcBorders>
            <w:tcMar>
              <w:top w:w="94" w:type="dxa"/>
              <w:left w:w="113" w:type="dxa"/>
              <w:bottom w:w="94" w:type="dxa"/>
              <w:right w:w="113" w:type="dxa"/>
            </w:tcMar>
            <w:vAlign w:val="center"/>
          </w:tcPr>
          <w:p w14:paraId="11C94B4C" w14:textId="77777777" w:rsidR="00563AB5" w:rsidRPr="008868BE" w:rsidRDefault="00563AB5" w:rsidP="00563AB5">
            <w:pPr>
              <w:pStyle w:val="CDIFigure-Table-BodyTextLeft"/>
            </w:pPr>
            <w:r w:rsidRPr="008868BE">
              <w:t>Chronic renal failure</w:t>
            </w:r>
          </w:p>
        </w:tc>
        <w:tc>
          <w:tcPr>
            <w:tcW w:w="3912" w:type="dxa"/>
            <w:tcBorders>
              <w:top w:val="single" w:sz="4" w:space="0" w:color="033636" w:themeColor="text2"/>
            </w:tcBorders>
            <w:tcMar>
              <w:top w:w="94" w:type="dxa"/>
              <w:left w:w="113" w:type="dxa"/>
              <w:bottom w:w="94" w:type="dxa"/>
              <w:right w:w="113" w:type="dxa"/>
            </w:tcMar>
            <w:vAlign w:val="center"/>
          </w:tcPr>
          <w:p w14:paraId="725A558F" w14:textId="77777777" w:rsidR="00563AB5" w:rsidRPr="008868BE" w:rsidRDefault="00563AB5" w:rsidP="00563AB5">
            <w:pPr>
              <w:pStyle w:val="CDIFigure-Table-BodyTextLeft"/>
            </w:pPr>
          </w:p>
        </w:tc>
      </w:tr>
      <w:tr w:rsidR="00563AB5" w:rsidRPr="008868BE" w14:paraId="33B00AF9" w14:textId="77777777" w:rsidTr="00563AB5">
        <w:tblPrEx>
          <w:tblCellMar>
            <w:top w:w="0" w:type="dxa"/>
            <w:left w:w="0" w:type="dxa"/>
            <w:bottom w:w="0" w:type="dxa"/>
            <w:right w:w="0" w:type="dxa"/>
          </w:tblCellMar>
        </w:tblPrEx>
        <w:trPr>
          <w:trHeight w:val="20"/>
        </w:trPr>
        <w:tc>
          <w:tcPr>
            <w:tcW w:w="1701" w:type="dxa"/>
            <w:vMerge/>
            <w:tcBorders>
              <w:bottom w:val="single" w:sz="4" w:space="0" w:color="033636" w:themeColor="text2"/>
            </w:tcBorders>
            <w:shd w:val="clear" w:color="auto" w:fill="C5FFEF" w:themeFill="background2" w:themeFillTint="33"/>
          </w:tcPr>
          <w:p w14:paraId="74CD7CFC" w14:textId="77777777" w:rsidR="00563AB5" w:rsidRPr="008868BE" w:rsidRDefault="00563AB5" w:rsidP="00563AB5">
            <w:pPr>
              <w:pStyle w:val="CDIFigure-Table-BodyTextLeft"/>
            </w:pPr>
          </w:p>
        </w:tc>
        <w:tc>
          <w:tcPr>
            <w:tcW w:w="4025" w:type="dxa"/>
            <w:tcBorders>
              <w:bottom w:val="single" w:sz="4" w:space="0" w:color="033636" w:themeColor="text2"/>
            </w:tcBorders>
            <w:tcMar>
              <w:top w:w="94" w:type="dxa"/>
              <w:left w:w="113" w:type="dxa"/>
              <w:bottom w:w="94" w:type="dxa"/>
              <w:right w:w="113" w:type="dxa"/>
            </w:tcMar>
            <w:vAlign w:val="center"/>
          </w:tcPr>
          <w:p w14:paraId="0A40C87C" w14:textId="77777777" w:rsidR="00563AB5" w:rsidRPr="008868BE" w:rsidRDefault="00563AB5" w:rsidP="00563AB5">
            <w:pPr>
              <w:pStyle w:val="CDIFigure-Table-BodyTextLeft"/>
            </w:pPr>
            <w:r w:rsidRPr="008868BE">
              <w:t>Long-term aspirin therapy in children aged 5 to 10 years</w:t>
            </w:r>
          </w:p>
        </w:tc>
        <w:tc>
          <w:tcPr>
            <w:tcW w:w="3912" w:type="dxa"/>
            <w:tcBorders>
              <w:bottom w:val="single" w:sz="4" w:space="0" w:color="033636" w:themeColor="text2"/>
            </w:tcBorders>
            <w:tcMar>
              <w:top w:w="94" w:type="dxa"/>
              <w:left w:w="113" w:type="dxa"/>
              <w:bottom w:w="94" w:type="dxa"/>
              <w:right w:w="113" w:type="dxa"/>
            </w:tcMar>
            <w:vAlign w:val="center"/>
          </w:tcPr>
          <w:p w14:paraId="7257F71D" w14:textId="77777777" w:rsidR="00563AB5" w:rsidRPr="008868BE" w:rsidRDefault="00563AB5" w:rsidP="00563AB5">
            <w:pPr>
              <w:pStyle w:val="CDIFigure-Table-BodyTextLeft"/>
            </w:pPr>
          </w:p>
        </w:tc>
      </w:tr>
      <w:tr w:rsidR="008868BE" w:rsidRPr="008868BE" w14:paraId="383BA94F" w14:textId="77777777" w:rsidTr="00563AB5">
        <w:tblPrEx>
          <w:tblCellMar>
            <w:top w:w="0" w:type="dxa"/>
            <w:left w:w="0" w:type="dxa"/>
            <w:bottom w:w="0" w:type="dxa"/>
            <w:right w:w="0" w:type="dxa"/>
          </w:tblCellMar>
        </w:tblPrEx>
        <w:trPr>
          <w:trHeight w:val="20"/>
        </w:trPr>
        <w:tc>
          <w:tcPr>
            <w:tcW w:w="1701" w:type="dxa"/>
            <w:vMerge w:val="restart"/>
            <w:tcBorders>
              <w:top w:val="single" w:sz="4" w:space="0" w:color="033636" w:themeColor="text2"/>
              <w:bottom w:val="single" w:sz="4" w:space="0" w:color="033636" w:themeColor="text2"/>
            </w:tcBorders>
            <w:shd w:val="clear" w:color="auto" w:fill="C5FFEF" w:themeFill="background2" w:themeFillTint="33"/>
            <w:tcMar>
              <w:top w:w="94" w:type="dxa"/>
              <w:left w:w="113" w:type="dxa"/>
              <w:bottom w:w="94" w:type="dxa"/>
              <w:right w:w="113" w:type="dxa"/>
            </w:tcMar>
            <w:vAlign w:val="center"/>
          </w:tcPr>
          <w:p w14:paraId="03A1BA9E" w14:textId="77777777" w:rsidR="008868BE" w:rsidRPr="008868BE" w:rsidRDefault="008868BE" w:rsidP="00563AB5">
            <w:pPr>
              <w:pStyle w:val="CDIFigure-Table-BodyTextLeft"/>
            </w:pPr>
            <w:r w:rsidRPr="008868BE">
              <w:t>Not funded under the NIP</w:t>
            </w:r>
          </w:p>
        </w:tc>
        <w:tc>
          <w:tcPr>
            <w:tcW w:w="4025" w:type="dxa"/>
            <w:tcBorders>
              <w:top w:val="single" w:sz="4" w:space="0" w:color="033636" w:themeColor="text2"/>
            </w:tcBorders>
            <w:tcMar>
              <w:top w:w="94" w:type="dxa"/>
              <w:left w:w="113" w:type="dxa"/>
              <w:bottom w:w="94" w:type="dxa"/>
              <w:right w:w="113" w:type="dxa"/>
            </w:tcMar>
            <w:vAlign w:val="center"/>
          </w:tcPr>
          <w:p w14:paraId="6E80EFCD" w14:textId="77777777" w:rsidR="008868BE" w:rsidRPr="008868BE" w:rsidRDefault="008868BE" w:rsidP="00563AB5">
            <w:pPr>
              <w:pStyle w:val="CDIFigure-Table-BodyTextLeft"/>
            </w:pPr>
            <w:r w:rsidRPr="008868BE">
              <w:t>Chronic liver disease</w:t>
            </w:r>
          </w:p>
        </w:tc>
        <w:tc>
          <w:tcPr>
            <w:tcW w:w="3912" w:type="dxa"/>
            <w:tcBorders>
              <w:top w:val="single" w:sz="4" w:space="0" w:color="033636" w:themeColor="text2"/>
            </w:tcBorders>
            <w:tcMar>
              <w:top w:w="94" w:type="dxa"/>
              <w:left w:w="113" w:type="dxa"/>
              <w:bottom w:w="94" w:type="dxa"/>
              <w:right w:w="113" w:type="dxa"/>
            </w:tcMar>
            <w:vAlign w:val="center"/>
          </w:tcPr>
          <w:p w14:paraId="637C7259" w14:textId="77777777" w:rsidR="008868BE" w:rsidRPr="008868BE" w:rsidRDefault="008868BE" w:rsidP="00563AB5">
            <w:pPr>
              <w:pStyle w:val="CDIFigure-Table-BodyTextLeft"/>
            </w:pPr>
          </w:p>
        </w:tc>
      </w:tr>
      <w:tr w:rsidR="008868BE" w:rsidRPr="008868BE" w14:paraId="3A6ED128" w14:textId="77777777" w:rsidTr="00563AB5">
        <w:tblPrEx>
          <w:tblCellMar>
            <w:top w:w="0" w:type="dxa"/>
            <w:left w:w="0" w:type="dxa"/>
            <w:bottom w:w="0" w:type="dxa"/>
            <w:right w:w="0" w:type="dxa"/>
          </w:tblCellMar>
        </w:tblPrEx>
        <w:trPr>
          <w:trHeight w:val="20"/>
        </w:trPr>
        <w:tc>
          <w:tcPr>
            <w:tcW w:w="1701" w:type="dxa"/>
            <w:vMerge/>
            <w:tcBorders>
              <w:bottom w:val="single" w:sz="4" w:space="0" w:color="033636" w:themeColor="text2"/>
            </w:tcBorders>
            <w:shd w:val="clear" w:color="auto" w:fill="C5FFEF" w:themeFill="background2" w:themeFillTint="33"/>
          </w:tcPr>
          <w:p w14:paraId="63DB0188" w14:textId="77777777" w:rsidR="008868BE" w:rsidRPr="008868BE" w:rsidRDefault="008868BE" w:rsidP="008868BE"/>
        </w:tc>
        <w:tc>
          <w:tcPr>
            <w:tcW w:w="4025" w:type="dxa"/>
            <w:tcMar>
              <w:top w:w="94" w:type="dxa"/>
              <w:left w:w="113" w:type="dxa"/>
              <w:bottom w:w="94" w:type="dxa"/>
              <w:right w:w="113" w:type="dxa"/>
            </w:tcMar>
            <w:vAlign w:val="center"/>
          </w:tcPr>
          <w:p w14:paraId="63D6A355" w14:textId="77777777" w:rsidR="008868BE" w:rsidRPr="008868BE" w:rsidRDefault="008868BE" w:rsidP="00563AB5">
            <w:pPr>
              <w:pStyle w:val="CDIFigure-Table-BodyTextLeft"/>
            </w:pPr>
            <w:r w:rsidRPr="008868BE">
              <w:t>Down syndrome</w:t>
            </w:r>
          </w:p>
        </w:tc>
        <w:tc>
          <w:tcPr>
            <w:tcW w:w="3912" w:type="dxa"/>
            <w:tcMar>
              <w:top w:w="94" w:type="dxa"/>
              <w:left w:w="113" w:type="dxa"/>
              <w:bottom w:w="94" w:type="dxa"/>
              <w:right w:w="113" w:type="dxa"/>
            </w:tcMar>
            <w:vAlign w:val="center"/>
          </w:tcPr>
          <w:p w14:paraId="3C44E76B" w14:textId="77777777" w:rsidR="008868BE" w:rsidRPr="008868BE" w:rsidRDefault="008868BE" w:rsidP="00563AB5">
            <w:pPr>
              <w:pStyle w:val="CDIFigure-Table-BodyTextLeft"/>
            </w:pPr>
          </w:p>
        </w:tc>
      </w:tr>
      <w:tr w:rsidR="008868BE" w:rsidRPr="008868BE" w14:paraId="3C352D42" w14:textId="77777777" w:rsidTr="00563AB5">
        <w:tblPrEx>
          <w:tblCellMar>
            <w:top w:w="0" w:type="dxa"/>
            <w:left w:w="0" w:type="dxa"/>
            <w:bottom w:w="0" w:type="dxa"/>
            <w:right w:w="0" w:type="dxa"/>
          </w:tblCellMar>
        </w:tblPrEx>
        <w:trPr>
          <w:trHeight w:val="20"/>
        </w:trPr>
        <w:tc>
          <w:tcPr>
            <w:tcW w:w="1701" w:type="dxa"/>
            <w:vMerge/>
            <w:tcBorders>
              <w:bottom w:val="single" w:sz="4" w:space="0" w:color="033636" w:themeColor="text2"/>
            </w:tcBorders>
            <w:shd w:val="clear" w:color="auto" w:fill="C5FFEF" w:themeFill="background2" w:themeFillTint="33"/>
          </w:tcPr>
          <w:p w14:paraId="485ACAD7" w14:textId="77777777" w:rsidR="008868BE" w:rsidRPr="008868BE" w:rsidRDefault="008868BE" w:rsidP="008868BE"/>
        </w:tc>
        <w:tc>
          <w:tcPr>
            <w:tcW w:w="4025" w:type="dxa"/>
            <w:tcMar>
              <w:top w:w="94" w:type="dxa"/>
              <w:left w:w="113" w:type="dxa"/>
              <w:bottom w:w="94" w:type="dxa"/>
              <w:right w:w="113" w:type="dxa"/>
            </w:tcMar>
            <w:vAlign w:val="center"/>
          </w:tcPr>
          <w:p w14:paraId="5E2475BE" w14:textId="77777777" w:rsidR="008868BE" w:rsidRPr="008868BE" w:rsidRDefault="008868BE" w:rsidP="00563AB5">
            <w:pPr>
              <w:pStyle w:val="CDIFigure-Table-BodyTextLeft"/>
            </w:pPr>
            <w:r w:rsidRPr="008868BE">
              <w:t>Obesity (body mass index ≥30 kg per m2)</w:t>
            </w:r>
          </w:p>
        </w:tc>
        <w:tc>
          <w:tcPr>
            <w:tcW w:w="3912" w:type="dxa"/>
            <w:tcMar>
              <w:top w:w="94" w:type="dxa"/>
              <w:left w:w="113" w:type="dxa"/>
              <w:bottom w:w="94" w:type="dxa"/>
              <w:right w:w="113" w:type="dxa"/>
            </w:tcMar>
            <w:vAlign w:val="center"/>
          </w:tcPr>
          <w:p w14:paraId="37C5D97C" w14:textId="77777777" w:rsidR="008868BE" w:rsidRPr="008868BE" w:rsidRDefault="008868BE" w:rsidP="00563AB5">
            <w:pPr>
              <w:pStyle w:val="CDIFigure-Table-BodyTextLeft"/>
            </w:pPr>
          </w:p>
        </w:tc>
      </w:tr>
      <w:tr w:rsidR="008868BE" w:rsidRPr="008868BE" w14:paraId="1A42FEBD" w14:textId="77777777" w:rsidTr="00563AB5">
        <w:tblPrEx>
          <w:tblCellMar>
            <w:top w:w="0" w:type="dxa"/>
            <w:left w:w="0" w:type="dxa"/>
            <w:bottom w:w="0" w:type="dxa"/>
            <w:right w:w="0" w:type="dxa"/>
          </w:tblCellMar>
        </w:tblPrEx>
        <w:trPr>
          <w:trHeight w:val="20"/>
        </w:trPr>
        <w:tc>
          <w:tcPr>
            <w:tcW w:w="1701" w:type="dxa"/>
            <w:vMerge/>
            <w:tcBorders>
              <w:bottom w:val="single" w:sz="4" w:space="0" w:color="033636" w:themeColor="text2"/>
            </w:tcBorders>
            <w:shd w:val="clear" w:color="auto" w:fill="C5FFEF" w:themeFill="background2" w:themeFillTint="33"/>
          </w:tcPr>
          <w:p w14:paraId="5F161431" w14:textId="77777777" w:rsidR="008868BE" w:rsidRPr="008868BE" w:rsidRDefault="008868BE" w:rsidP="008868BE"/>
        </w:tc>
        <w:tc>
          <w:tcPr>
            <w:tcW w:w="4025" w:type="dxa"/>
            <w:tcMar>
              <w:top w:w="94" w:type="dxa"/>
              <w:left w:w="113" w:type="dxa"/>
              <w:bottom w:w="94" w:type="dxa"/>
              <w:right w:w="113" w:type="dxa"/>
            </w:tcMar>
            <w:vAlign w:val="center"/>
          </w:tcPr>
          <w:p w14:paraId="6D11861F" w14:textId="77777777" w:rsidR="008868BE" w:rsidRPr="008868BE" w:rsidRDefault="008868BE" w:rsidP="00563AB5">
            <w:pPr>
              <w:pStyle w:val="CDIFigure-Table-BodyTextLeft"/>
            </w:pPr>
            <w:r w:rsidRPr="008868BE">
              <w:t>Children born less than 37 weeks gestation</w:t>
            </w:r>
          </w:p>
        </w:tc>
        <w:tc>
          <w:tcPr>
            <w:tcW w:w="3912" w:type="dxa"/>
            <w:tcMar>
              <w:top w:w="94" w:type="dxa"/>
              <w:left w:w="113" w:type="dxa"/>
              <w:bottom w:w="94" w:type="dxa"/>
              <w:right w:w="113" w:type="dxa"/>
            </w:tcMar>
            <w:vAlign w:val="center"/>
          </w:tcPr>
          <w:p w14:paraId="545349CC" w14:textId="77777777" w:rsidR="008868BE" w:rsidRPr="008868BE" w:rsidRDefault="008868BE" w:rsidP="00563AB5">
            <w:pPr>
              <w:pStyle w:val="CDIFigure-Table-BodyTextLeft"/>
            </w:pPr>
          </w:p>
        </w:tc>
      </w:tr>
      <w:tr w:rsidR="008868BE" w:rsidRPr="008868BE" w14:paraId="236795FB" w14:textId="77777777" w:rsidTr="00563AB5">
        <w:tblPrEx>
          <w:tblCellMar>
            <w:top w:w="0" w:type="dxa"/>
            <w:left w:w="0" w:type="dxa"/>
            <w:bottom w:w="0" w:type="dxa"/>
            <w:right w:w="0" w:type="dxa"/>
          </w:tblCellMar>
        </w:tblPrEx>
        <w:trPr>
          <w:trHeight w:val="20"/>
        </w:trPr>
        <w:tc>
          <w:tcPr>
            <w:tcW w:w="1701" w:type="dxa"/>
            <w:vMerge/>
            <w:tcBorders>
              <w:bottom w:val="single" w:sz="4" w:space="0" w:color="033636" w:themeColor="text2"/>
            </w:tcBorders>
            <w:shd w:val="clear" w:color="auto" w:fill="C5FFEF" w:themeFill="background2" w:themeFillTint="33"/>
          </w:tcPr>
          <w:p w14:paraId="17335428" w14:textId="77777777" w:rsidR="008868BE" w:rsidRPr="008868BE" w:rsidRDefault="008868BE" w:rsidP="008868BE"/>
        </w:tc>
        <w:tc>
          <w:tcPr>
            <w:tcW w:w="4025" w:type="dxa"/>
            <w:tcBorders>
              <w:bottom w:val="single" w:sz="4" w:space="0" w:color="033636" w:themeColor="text2"/>
            </w:tcBorders>
            <w:tcMar>
              <w:top w:w="94" w:type="dxa"/>
              <w:left w:w="113" w:type="dxa"/>
              <w:bottom w:w="94" w:type="dxa"/>
              <w:right w:w="113" w:type="dxa"/>
            </w:tcMar>
            <w:vAlign w:val="center"/>
          </w:tcPr>
          <w:p w14:paraId="27303E8D" w14:textId="77777777" w:rsidR="008868BE" w:rsidRPr="008868BE" w:rsidRDefault="008868BE" w:rsidP="00563AB5">
            <w:pPr>
              <w:pStyle w:val="CDIFigure-Table-BodyTextLeft"/>
            </w:pPr>
            <w:r w:rsidRPr="008868BE">
              <w:t>Harmful use of alcohol</w:t>
            </w:r>
          </w:p>
        </w:tc>
        <w:tc>
          <w:tcPr>
            <w:tcW w:w="3912" w:type="dxa"/>
            <w:tcBorders>
              <w:bottom w:val="single" w:sz="4" w:space="0" w:color="033636" w:themeColor="text2"/>
            </w:tcBorders>
            <w:tcMar>
              <w:top w:w="94" w:type="dxa"/>
              <w:left w:w="113" w:type="dxa"/>
              <w:bottom w:w="94" w:type="dxa"/>
              <w:right w:w="113" w:type="dxa"/>
            </w:tcMar>
            <w:vAlign w:val="center"/>
          </w:tcPr>
          <w:p w14:paraId="00DC6DA9" w14:textId="77777777" w:rsidR="008868BE" w:rsidRPr="008868BE" w:rsidRDefault="008868BE" w:rsidP="00563AB5">
            <w:pPr>
              <w:pStyle w:val="CDIFigure-Table-BodyTextLeft"/>
            </w:pPr>
          </w:p>
        </w:tc>
      </w:tr>
    </w:tbl>
    <w:p w14:paraId="6D2390C1" w14:textId="77777777" w:rsidR="00B978A2" w:rsidRDefault="00B978A2" w:rsidP="00B978A2">
      <w:pPr>
        <w:pStyle w:val="CDIFigure-Table-FirstFootnote"/>
      </w:pPr>
      <w:r>
        <w:t>a</w:t>
      </w:r>
      <w:r>
        <w:tab/>
        <w:t xml:space="preserve">People with these conditions </w:t>
      </w:r>
      <w:proofErr w:type="gramStart"/>
      <w:r>
        <w:t>are</w:t>
      </w:r>
      <w:proofErr w:type="gramEnd"/>
      <w:r>
        <w:t xml:space="preserve"> recommended to receive influenza vaccination every year.</w:t>
      </w:r>
    </w:p>
    <w:p w14:paraId="08753E0B" w14:textId="77777777" w:rsidR="00B978A2" w:rsidRDefault="00B978A2" w:rsidP="00B978A2">
      <w:pPr>
        <w:pStyle w:val="CDIFigure-Table-Footnote"/>
      </w:pPr>
      <w:r>
        <w:t>b</w:t>
      </w:r>
      <w:r>
        <w:tab/>
        <w:t>Source: reference 2.</w:t>
      </w:r>
    </w:p>
    <w:p w14:paraId="0B80839F" w14:textId="2251177B" w:rsidR="00B978A2" w:rsidRDefault="00B978A2" w:rsidP="006E5645">
      <w:pPr>
        <w:pStyle w:val="CDIFigure-Table-Footnote"/>
      </w:pPr>
      <w:r>
        <w:t>c</w:t>
      </w:r>
      <w:r>
        <w:tab/>
        <w:t>Defined as requiring frequent medical consultations or the use of multiple medicines.</w:t>
      </w:r>
      <w:r>
        <w:br w:type="page"/>
      </w:r>
    </w:p>
    <w:p w14:paraId="702C44AC" w14:textId="3922EA3A"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6D53693A" w14:textId="77777777" w:rsidR="000A5F42" w:rsidRPr="0089025E" w:rsidRDefault="000A5F42" w:rsidP="00194A12">
      <w:pPr>
        <w:pStyle w:val="CDICopyrightText"/>
      </w:pPr>
      <w:r w:rsidRPr="0089025E">
        <w:t xml:space="preserve">Communicable Diseases Intelligence (CDI) is a peer-reviewed scientific journal published by the </w:t>
      </w:r>
      <w:r w:rsidR="000705FF" w:rsidRPr="0089025E">
        <w:t>Health Protection Policy &amp; Surveillance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33F8C1E5" w14:textId="77777777" w:rsidR="000705FF" w:rsidRPr="0089025E" w:rsidRDefault="000705FF" w:rsidP="00194A12">
      <w:pPr>
        <w:pStyle w:val="CDICopyrightText"/>
      </w:pPr>
      <w:r w:rsidRPr="0089025E">
        <w:t xml:space="preserve">© </w:t>
      </w:r>
      <w:fldSimple w:instr=" DOCPROPERTY  Year  \* MERGEFORMAT ">
        <w:r w:rsidR="008A4E1C">
          <w:t>2024</w:t>
        </w:r>
      </w:fldSimple>
      <w:r w:rsidRPr="0089025E">
        <w:t xml:space="preserve"> Commonwealth of Australia as represented by the Department of Health and Aged Care</w:t>
      </w:r>
    </w:p>
    <w:p w14:paraId="6933305A" w14:textId="77777777" w:rsidR="00DE4482" w:rsidRPr="0089025E" w:rsidRDefault="00DE4482" w:rsidP="00194A12">
      <w:pPr>
        <w:pStyle w:val="CDICopyrightText"/>
      </w:pPr>
      <w:r w:rsidRPr="0089025E">
        <w:t>ISSN: 2209-6051 Online</w:t>
      </w:r>
    </w:p>
    <w:p w14:paraId="6BD2D571"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12534DB5"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20D8E3C2" w14:textId="77777777" w:rsidR="000705FF" w:rsidRPr="00194A12" w:rsidRDefault="000705FF" w:rsidP="00194A12">
      <w:pPr>
        <w:pStyle w:val="CDICopyrightHeading"/>
      </w:pPr>
      <w:r w:rsidRPr="00194A12">
        <w:t>Restrictions</w:t>
      </w:r>
    </w:p>
    <w:p w14:paraId="3BA65C7F"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83757DD"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7E32B06B"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79A6F1E1"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149A2C11" w14:textId="77777777" w:rsidR="000705FF" w:rsidRPr="0089025E" w:rsidRDefault="000705FF" w:rsidP="00AC0F5D">
      <w:pPr>
        <w:pStyle w:val="CDICopyrightBullets"/>
      </w:pPr>
      <w:r w:rsidRPr="0089025E">
        <w:t>any signatures; and</w:t>
      </w:r>
    </w:p>
    <w:p w14:paraId="79994E3B" w14:textId="77777777" w:rsidR="000705FF" w:rsidRPr="0089025E" w:rsidRDefault="000705FF" w:rsidP="00AC0F5D">
      <w:pPr>
        <w:pStyle w:val="CDICopyrightBullets"/>
      </w:pPr>
      <w:r w:rsidRPr="0089025E">
        <w:t xml:space="preserve">any material belonging to third parties. </w:t>
      </w:r>
    </w:p>
    <w:p w14:paraId="095B2745" w14:textId="77777777" w:rsidR="000F223B" w:rsidRPr="0089025E" w:rsidRDefault="000705FF" w:rsidP="00194A12">
      <w:pPr>
        <w:pStyle w:val="CDICopyrightHeading"/>
      </w:pPr>
      <w:r w:rsidRPr="0089025E">
        <w:t>Disclaimer</w:t>
      </w:r>
    </w:p>
    <w:p w14:paraId="08FE430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D5E4FE4" w14:textId="77777777" w:rsidR="000F223B" w:rsidRPr="0089025E" w:rsidRDefault="000705FF" w:rsidP="00194A12">
      <w:pPr>
        <w:pStyle w:val="CDICopyrightHeading"/>
      </w:pPr>
      <w:r w:rsidRPr="0089025E">
        <w:t>Enquiries</w:t>
      </w:r>
    </w:p>
    <w:p w14:paraId="462BAA54"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7" w:history="1">
        <w:r w:rsidR="006307C1" w:rsidRPr="005A4A08">
          <w:rPr>
            <w:rStyle w:val="Hyperlink"/>
          </w:rPr>
          <w:t>cdi.editor@health.gov.au</w:t>
        </w:r>
      </w:hyperlink>
      <w:r w:rsidR="006307C1">
        <w:t xml:space="preserve"> </w:t>
      </w:r>
      <w:r w:rsidRPr="0089025E">
        <w:t xml:space="preserve"> </w:t>
      </w:r>
    </w:p>
    <w:p w14:paraId="143243D1" w14:textId="77777777" w:rsidR="000F223B" w:rsidRPr="0089025E" w:rsidRDefault="000705FF" w:rsidP="00194A12">
      <w:pPr>
        <w:pStyle w:val="CDICopyrightHeading"/>
      </w:pPr>
      <w:r w:rsidRPr="0089025E">
        <w:t>Communicable Diseases Network Australia</w:t>
      </w:r>
    </w:p>
    <w:p w14:paraId="67606098"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7766A5D8" w14:textId="019FEF0E"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r w:rsidR="00AB4EBF">
        <w:t>/Kasra Yousefi</w:t>
      </w:r>
    </w:p>
    <w:p w14:paraId="37F54E9F"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proofErr w:type="gramStart"/>
      <w:r w:rsidR="00CF75DF" w:rsidRPr="0089025E">
        <w:t>Sheel</w:t>
      </w:r>
      <w:proofErr w:type="gramEnd"/>
      <w:r w:rsidR="00CF75DF" w:rsidRPr="0089025E">
        <w:t xml:space="preserve"> and Steph</w:t>
      </w:r>
      <w:r w:rsidR="00D33918">
        <w:t>anie</w:t>
      </w:r>
      <w:r w:rsidR="00CF75DF" w:rsidRPr="0089025E">
        <w:t> Williams</w:t>
      </w:r>
    </w:p>
    <w:p w14:paraId="58D60D0A" w14:textId="77777777" w:rsidR="00DE4482" w:rsidRPr="0089025E" w:rsidRDefault="000A5F42" w:rsidP="00194A12">
      <w:pPr>
        <w:pStyle w:val="CDICopyrightHeading"/>
      </w:pPr>
      <w:r w:rsidRPr="0089025E">
        <w:t>Contacts</w:t>
      </w:r>
    </w:p>
    <w:p w14:paraId="26BF2C53" w14:textId="77777777" w:rsidR="00682E53" w:rsidRDefault="00E54BBD" w:rsidP="00194A12">
      <w:pPr>
        <w:pStyle w:val="CDICopyrightText"/>
      </w:pPr>
      <w:r w:rsidRPr="0089025E">
        <w:t>CDI is produced by</w:t>
      </w:r>
      <w:r w:rsidR="00682E53">
        <w:t>:</w:t>
      </w:r>
    </w:p>
    <w:p w14:paraId="0F143104" w14:textId="77777777" w:rsidR="000A5F42" w:rsidRPr="0089025E" w:rsidRDefault="00DA2E9E" w:rsidP="00194A12">
      <w:pPr>
        <w:pStyle w:val="CDICopyrightText"/>
      </w:pPr>
      <w:r w:rsidRPr="0089025E">
        <w:t>Health Protection Policy &amp; Surveillance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14A91729" w14:textId="77777777" w:rsidR="00DA2E9E" w:rsidRPr="0089025E" w:rsidRDefault="00DA2E9E" w:rsidP="00194A12">
      <w:pPr>
        <w:pStyle w:val="CDICopyrightText"/>
      </w:pPr>
      <w:r w:rsidRPr="0089025E">
        <w:t xml:space="preserve">Website: </w:t>
      </w:r>
      <w:hyperlink r:id="rId18" w:history="1">
        <w:r w:rsidR="00AC0F5D" w:rsidRPr="000C6EB5">
          <w:rPr>
            <w:rStyle w:val="Hyperlink"/>
          </w:rPr>
          <w:t>www.health.gov.au/cdi</w:t>
        </w:r>
      </w:hyperlink>
      <w:r w:rsidR="00AC0F5D">
        <w:t xml:space="preserve"> </w:t>
      </w:r>
    </w:p>
    <w:p w14:paraId="35EA35EB" w14:textId="77777777" w:rsidR="000A5F42" w:rsidRPr="0089025E" w:rsidRDefault="000A5F42" w:rsidP="00194A12">
      <w:pPr>
        <w:pStyle w:val="CDICopyrightText"/>
      </w:pPr>
      <w:r w:rsidRPr="0089025E">
        <w:t xml:space="preserve">Email: </w:t>
      </w:r>
      <w:hyperlink r:id="rId19" w:history="1">
        <w:r w:rsidR="00AC0F5D" w:rsidRPr="000C6EB5">
          <w:rPr>
            <w:rStyle w:val="Hyperlink"/>
          </w:rPr>
          <w:t>cdi.editor@health.gov.au</w:t>
        </w:r>
      </w:hyperlink>
      <w:r w:rsidR="00AC0F5D">
        <w:t xml:space="preserve"> </w:t>
      </w:r>
    </w:p>
    <w:p w14:paraId="752350C9"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66DF15BF"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17521B6D" w14:textId="77777777" w:rsidR="000A5F42" w:rsidRPr="0089025E" w:rsidRDefault="000A5F42" w:rsidP="00194A12">
      <w:pPr>
        <w:pStyle w:val="CDICopyrightText"/>
      </w:pPr>
      <w:r w:rsidRPr="0089025E">
        <w:t xml:space="preserve">Further enquiries should be directed to: </w:t>
      </w:r>
      <w:hyperlink r:id="rId20" w:history="1">
        <w:r w:rsidR="00AC0F5D" w:rsidRPr="000C6EB5">
          <w:rPr>
            <w:rStyle w:val="Hyperlink"/>
          </w:rPr>
          <w:t>cdi.editor@health.gov.au</w:t>
        </w:r>
      </w:hyperlink>
      <w:r w:rsidR="00AC0F5D">
        <w:t xml:space="preserve"> </w:t>
      </w:r>
    </w:p>
    <w:sectPr w:rsidR="000A5F42" w:rsidRPr="0089025E" w:rsidSect="001A26DD">
      <w:footerReference w:type="default" r:id="rId21"/>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52B2" w14:textId="77777777" w:rsidR="008A4E1C" w:rsidRDefault="008A4E1C" w:rsidP="00E54DBA">
      <w:r>
        <w:separator/>
      </w:r>
    </w:p>
    <w:p w14:paraId="7A5949C2" w14:textId="77777777" w:rsidR="008A4E1C" w:rsidRDefault="008A4E1C"/>
    <w:p w14:paraId="4E6F822D" w14:textId="77777777" w:rsidR="008A4E1C" w:rsidRDefault="008A4E1C" w:rsidP="008714B0"/>
  </w:endnote>
  <w:endnote w:type="continuationSeparator" w:id="0">
    <w:p w14:paraId="3E4F63DF" w14:textId="77777777" w:rsidR="008A4E1C" w:rsidRDefault="008A4E1C" w:rsidP="00E54DBA">
      <w:r>
        <w:continuationSeparator/>
      </w:r>
    </w:p>
    <w:p w14:paraId="06B737CF" w14:textId="77777777" w:rsidR="008A4E1C" w:rsidRDefault="008A4E1C"/>
    <w:p w14:paraId="3DE4B2DA" w14:textId="77777777" w:rsidR="008A4E1C" w:rsidRDefault="008A4E1C"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4C54"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B3D2" w14:textId="29B77C55"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797A96">
      <w:fldChar w:fldCharType="begin"/>
    </w:r>
    <w:r w:rsidR="00797A96">
      <w:instrText xml:space="preserve"> DOCPROPERTY  Year  \* MERGEFORMAT </w:instrText>
    </w:r>
    <w:r w:rsidR="00797A96">
      <w:fldChar w:fldCharType="separate"/>
    </w:r>
    <w:r w:rsidR="008A4E1C">
      <w:t>2024</w:t>
    </w:r>
    <w:r w:rsidR="00797A96">
      <w:fldChar w:fldCharType="end"/>
    </w:r>
    <w:r w:rsidRPr="001D0612">
      <w:t xml:space="preserve"> </w:t>
    </w:r>
    <w:r w:rsidR="00797A96">
      <w:fldChar w:fldCharType="begin"/>
    </w:r>
    <w:r w:rsidR="00797A96">
      <w:instrText xml:space="preserve"> DOCPROPERTY  Vol  \* MERGEFORMAT </w:instrText>
    </w:r>
    <w:r w:rsidR="00797A96">
      <w:fldChar w:fldCharType="separate"/>
    </w:r>
    <w:r w:rsidR="008A4E1C">
      <w:t>48</w:t>
    </w:r>
    <w:r w:rsidR="00797A96">
      <w:fldChar w:fldCharType="end"/>
    </w:r>
    <w:r w:rsidRPr="001D0612">
      <w:t xml:space="preserve">  (</w:t>
    </w:r>
    <w:r w:rsidR="00797A96">
      <w:fldChar w:fldCharType="begin"/>
    </w:r>
    <w:r w:rsidR="00797A96">
      <w:instrText xml:space="preserve"> DOCPROPERTY  DOI  \* MERGEFORMAT </w:instrText>
    </w:r>
    <w:r w:rsidR="00797A96">
      <w:fldChar w:fldCharType="separate"/>
    </w:r>
    <w:r w:rsidR="0072438C">
      <w:t>https://doi.org/10.33321/cdi.2024.48.25</w:t>
    </w:r>
    <w:r w:rsidR="00797A96">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797A96">
      <w:fldChar w:fldCharType="begin"/>
    </w:r>
    <w:r w:rsidR="00797A96">
      <w:instrText xml:space="preserve"> DOCPROPERTY  ePubDate  \* MERGEFORMAT </w:instrText>
    </w:r>
    <w:r w:rsidR="00797A96">
      <w:fldChar w:fldCharType="separate"/>
    </w:r>
    <w:r w:rsidR="0072438C">
      <w:t>17/07/2024</w:t>
    </w:r>
    <w:r w:rsidR="00797A96">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3222"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B34E" w14:textId="655D8CA2" w:rsidR="00343991" w:rsidRDefault="00343991" w:rsidP="00343991">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8A4E1C">
        <w:t>2024</w:t>
      </w:r>
    </w:fldSimple>
    <w:r w:rsidRPr="001D0612">
      <w:t xml:space="preserve"> </w:t>
    </w:r>
    <w:fldSimple w:instr=" DOCPROPERTY  Vol  \* MERGEFORMAT ">
      <w:r w:rsidR="008A4E1C">
        <w:t>48</w:t>
      </w:r>
    </w:fldSimple>
    <w:r w:rsidRPr="001D0612">
      <w:t xml:space="preserve">  (</w:t>
    </w:r>
    <w:fldSimple w:instr=" DOCPROPERTY  DOI  \* MERGEFORMAT ">
      <w:r w:rsidR="00746504">
        <w:t>https://doi.org/10.33321/cdi.2024.48.25</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746504">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7704" w14:textId="00A75EF0"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8A4E1C">
        <w:t>2024</w:t>
      </w:r>
    </w:fldSimple>
    <w:r w:rsidRPr="001D0612">
      <w:t xml:space="preserve"> </w:t>
    </w:r>
    <w:fldSimple w:instr=" DOCPROPERTY  Vol  \* MERGEFORMAT ">
      <w:r w:rsidR="008A4E1C">
        <w:t>48</w:t>
      </w:r>
    </w:fldSimple>
    <w:r w:rsidRPr="001D0612">
      <w:t xml:space="preserve">  (</w:t>
    </w:r>
    <w:fldSimple w:instr=" DOCPROPERTY  DOI  \* MERGEFORMAT ">
      <w:r w:rsidR="00746504">
        <w:t>https://doi.org/10.33321/cdi.2024.48.25</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746504">
        <w:t>17/07/2024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F2AC" w14:textId="77777777" w:rsidR="008A4E1C" w:rsidRPr="00B91FB5" w:rsidRDefault="008A4E1C" w:rsidP="00B91FB5">
      <w:pPr>
        <w:spacing w:line="240" w:lineRule="auto"/>
        <w:rPr>
          <w:sz w:val="18"/>
          <w:szCs w:val="18"/>
        </w:rPr>
      </w:pPr>
      <w:r w:rsidRPr="00B91FB5">
        <w:rPr>
          <w:sz w:val="18"/>
          <w:szCs w:val="18"/>
        </w:rPr>
        <w:separator/>
      </w:r>
    </w:p>
  </w:footnote>
  <w:footnote w:type="continuationSeparator" w:id="0">
    <w:p w14:paraId="79D811F9" w14:textId="77777777" w:rsidR="008A4E1C" w:rsidRDefault="008A4E1C" w:rsidP="00E54DBA">
      <w:r>
        <w:continuationSeparator/>
      </w:r>
    </w:p>
  </w:footnote>
  <w:footnote w:type="continuationNotice" w:id="1">
    <w:p w14:paraId="53710347" w14:textId="77777777" w:rsidR="008A4E1C" w:rsidRPr="00224EFF" w:rsidRDefault="008A4E1C"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CBE8"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58F3"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20E1"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32A5D645" wp14:editId="1F19DF79">
          <wp:simplePos x="0" y="0"/>
          <wp:positionH relativeFrom="page">
            <wp:align>left</wp:align>
          </wp:positionH>
          <wp:positionV relativeFrom="page">
            <wp:align>top</wp:align>
          </wp:positionV>
          <wp:extent cx="7567200" cy="2268000"/>
          <wp:effectExtent l="0" t="0" r="0" b="0"/>
          <wp:wrapNone/>
          <wp:docPr id="1" name="Picture 1"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odyTextCentre"/>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SubtitleCha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BoxHeadingGre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35966612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1C"/>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655ED"/>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26652"/>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219A"/>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4964"/>
    <w:rsid w:val="00545068"/>
    <w:rsid w:val="0054635D"/>
    <w:rsid w:val="005635C8"/>
    <w:rsid w:val="00563AB5"/>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B34AD"/>
    <w:rsid w:val="006C2787"/>
    <w:rsid w:val="006C74A3"/>
    <w:rsid w:val="006D1381"/>
    <w:rsid w:val="006D31BC"/>
    <w:rsid w:val="006D4979"/>
    <w:rsid w:val="006D508B"/>
    <w:rsid w:val="006D6625"/>
    <w:rsid w:val="006E5645"/>
    <w:rsid w:val="006E7943"/>
    <w:rsid w:val="006F24EA"/>
    <w:rsid w:val="00702D05"/>
    <w:rsid w:val="00703009"/>
    <w:rsid w:val="00704CA9"/>
    <w:rsid w:val="0071048D"/>
    <w:rsid w:val="00710F86"/>
    <w:rsid w:val="007111A8"/>
    <w:rsid w:val="00714CD2"/>
    <w:rsid w:val="00723B5F"/>
    <w:rsid w:val="0072438C"/>
    <w:rsid w:val="00725C33"/>
    <w:rsid w:val="00731BC3"/>
    <w:rsid w:val="00731FF7"/>
    <w:rsid w:val="00733216"/>
    <w:rsid w:val="00734159"/>
    <w:rsid w:val="00741192"/>
    <w:rsid w:val="007430BF"/>
    <w:rsid w:val="00743A33"/>
    <w:rsid w:val="00745AE2"/>
    <w:rsid w:val="00746080"/>
    <w:rsid w:val="00746504"/>
    <w:rsid w:val="0075144A"/>
    <w:rsid w:val="00760A97"/>
    <w:rsid w:val="007649F9"/>
    <w:rsid w:val="00765689"/>
    <w:rsid w:val="00771313"/>
    <w:rsid w:val="00774BA6"/>
    <w:rsid w:val="00775C3B"/>
    <w:rsid w:val="00780C3D"/>
    <w:rsid w:val="00781AEF"/>
    <w:rsid w:val="00781C54"/>
    <w:rsid w:val="007828D7"/>
    <w:rsid w:val="007852D0"/>
    <w:rsid w:val="00786329"/>
    <w:rsid w:val="007918B3"/>
    <w:rsid w:val="00792C7D"/>
    <w:rsid w:val="00794293"/>
    <w:rsid w:val="00794A4D"/>
    <w:rsid w:val="00797A96"/>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639D0"/>
    <w:rsid w:val="008714B0"/>
    <w:rsid w:val="00872A7F"/>
    <w:rsid w:val="00876331"/>
    <w:rsid w:val="00877B90"/>
    <w:rsid w:val="00880726"/>
    <w:rsid w:val="008868BE"/>
    <w:rsid w:val="0089025E"/>
    <w:rsid w:val="008A3532"/>
    <w:rsid w:val="008A3544"/>
    <w:rsid w:val="008A4E1C"/>
    <w:rsid w:val="008A4E8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767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49"/>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5E4"/>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9655B"/>
    <w:rsid w:val="00AA35E6"/>
    <w:rsid w:val="00AA50B6"/>
    <w:rsid w:val="00AA78FF"/>
    <w:rsid w:val="00AB3472"/>
    <w:rsid w:val="00AB4EBF"/>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78A2"/>
    <w:rsid w:val="00BA0B92"/>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 w:val="00FF6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1338D"/>
  <w15:docId w15:val="{713A66AA-C497-4035-88B3-C5084293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96"/>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8019B9"/>
    <w:pPr>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8868BE"/>
    <w:pPr>
      <w:spacing w:after="120"/>
    </w:pPr>
  </w:style>
  <w:style w:type="character" w:customStyle="1" w:styleId="BodyTextChar">
    <w:name w:val="Body Text Char"/>
    <w:basedOn w:val="DefaultParagraphFont"/>
    <w:link w:val="BodyText"/>
    <w:uiPriority w:val="99"/>
    <w:semiHidden/>
    <w:rsid w:val="008868BE"/>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ealth.gov.au/cdi"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_template_may_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CDI_template_may_2024.dotx</Template>
  <TotalTime>4</TotalTime>
  <Pages>32</Pages>
  <Words>10441</Words>
  <Characters>70896</Characters>
  <Application>Microsoft Office Word</Application>
  <DocSecurity>0</DocSecurity>
  <Lines>590</Lines>
  <Paragraphs>162</Paragraphs>
  <ScaleCrop>false</ScaleCrop>
  <HeadingPairs>
    <vt:vector size="2" baseType="variant">
      <vt:variant>
        <vt:lpstr>Title</vt:lpstr>
      </vt:variant>
      <vt:variant>
        <vt:i4>1</vt:i4>
      </vt:variant>
    </vt:vector>
  </HeadingPairs>
  <TitlesOfParts>
    <vt:vector size="1" baseType="lpstr">
      <vt:lpstr>Communicable Diseases Intelligence - ATAGI Targeted Review 2023: Vaccination for prevention of influenza in Australia</vt:lpstr>
    </vt:vector>
  </TitlesOfParts>
  <Company>Interim Australian Centre for Disease Control</Company>
  <LinksUpToDate>false</LinksUpToDate>
  <CharactersWithSpaces>81175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ATAGI Targeted Review 2023: Vaccination for prevention of influenza in Australia</dc:title>
  <dc:subject>This article is a review of the seasonal influenza vaccination program in Australia by the Australian Technical Advisory Group on Immunisations (ATAGI) and contains the considerations underpinning current recommendations, key unmet needs and potential future strategies to optimise prevention and control of seasonal influenza by using vaccines.</dc:subject>
  <dc:creator>Chisato Imai;Sanjay Jayasinghe;Jocelynne McRae;Jean Li-Kim-Moy;Clayton Chiu;Kristine Macartney;Penelope Burns;Kristy Cooper;Allen C Cheng;Katherine Gibney;Michelle Giles;Cheryl Jones;Tony Korman;Bette Liu;Nigel W Crawford;Australian Technical Advisory Group on Immunisation (ATAGI)</dc:creator>
  <cp:keywords>Influenza; influenza vaccine; immunisation programs; prevention and control; Australian Technical Advisory Group on Immunisation (ATAGI); National Immunisation Technical Advisory Group (NITAG)</cp:keywords>
  <dc:description>© Commonwealth of Australia CC BY-NC-ND</dc:description>
  <cp:revision>2</cp:revision>
  <cp:lastPrinted>2024-03-07T01:06:00Z</cp:lastPrinted>
  <dcterms:created xsi:type="dcterms:W3CDTF">2024-07-09T06:39:00Z</dcterms:created>
  <dcterms:modified xsi:type="dcterms:W3CDTF">2024-07-09T06:39:00Z</dcterms:modified>
  <cp:category>Review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17/07/2024</vt:lpwstr>
  </property>
  <property fmtid="{D5CDD505-2E9C-101B-9397-08002B2CF9AE}" pid="5" name="DOI">
    <vt:lpwstr>https://doi.org/10.33321/cdi.2024.48.25</vt:lpwstr>
  </property>
</Properties>
</file>