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946F" w14:textId="43138E75" w:rsidR="00B50D8D" w:rsidRPr="00341720" w:rsidRDefault="00282B56" w:rsidP="00341720">
      <w:pPr>
        <w:pStyle w:val="CDIDOIInformation"/>
      </w:pPr>
      <w:r>
        <w:fldChar w:fldCharType="begin"/>
      </w:r>
      <w:r>
        <w:instrText xml:space="preserve"> DOCPROPERTY  Year  \* MERGEFORMAT </w:instrText>
      </w:r>
      <w:r>
        <w:fldChar w:fldCharType="separate"/>
      </w:r>
      <w:r w:rsidR="00DF176A">
        <w:t>2024</w:t>
      </w:r>
      <w:r>
        <w:fldChar w:fldCharType="end"/>
      </w:r>
      <w:r w:rsidR="00A623E8" w:rsidRPr="00341720">
        <w:t xml:space="preserve"> • </w:t>
      </w:r>
      <w:r w:rsidR="00B50D8D" w:rsidRPr="00341720">
        <w:t xml:space="preserve">Volume </w:t>
      </w:r>
      <w:r w:rsidR="00751603">
        <w:fldChar w:fldCharType="begin"/>
      </w:r>
      <w:r w:rsidR="00751603">
        <w:instrText xml:space="preserve"> DOCPROPERTY  Vol  \* MERGEFORMAT </w:instrText>
      </w:r>
      <w:r w:rsidR="00751603">
        <w:fldChar w:fldCharType="separate"/>
      </w:r>
      <w:r w:rsidR="00DF176A">
        <w:t>48</w:t>
      </w:r>
      <w:r w:rsidR="00751603">
        <w:fldChar w:fldCharType="end"/>
      </w:r>
      <w:r w:rsidR="00725C33" w:rsidRPr="00341720">
        <w:t xml:space="preserve"> </w:t>
      </w:r>
      <w:r w:rsidR="008E3F81" w:rsidRPr="00341720">
        <w:t>•</w:t>
      </w:r>
      <w:r w:rsidR="00725C33" w:rsidRPr="00341720">
        <w:t xml:space="preserve"> </w:t>
      </w:r>
      <w:r w:rsidR="00751603">
        <w:fldChar w:fldCharType="begin"/>
      </w:r>
      <w:r w:rsidR="00751603">
        <w:instrText xml:space="preserve"> DOCPROPERTY  DOI  \* MERGEFORMAT </w:instrText>
      </w:r>
      <w:r w:rsidR="00751603">
        <w:fldChar w:fldCharType="separate"/>
      </w:r>
      <w:r w:rsidR="007C499F">
        <w:t>https://doi.org/10.33321/cdi.2024.48.29</w:t>
      </w:r>
      <w:r w:rsidR="00751603">
        <w:fldChar w:fldCharType="end"/>
      </w:r>
      <w:r w:rsidR="00725C33" w:rsidRPr="00341720">
        <w:t xml:space="preserve"> </w:t>
      </w:r>
      <w:r w:rsidR="00D20FB5" w:rsidRPr="00341720">
        <w:t>•</w:t>
      </w:r>
      <w:r w:rsidR="00D20FB5">
        <w:t xml:space="preserve"> </w:t>
      </w:r>
      <w:r w:rsidR="00D20FB5" w:rsidRPr="00341720">
        <w:t xml:space="preserve">Electronic publication date: </w:t>
      </w:r>
      <w:r w:rsidR="00751603">
        <w:fldChar w:fldCharType="begin"/>
      </w:r>
      <w:r w:rsidR="00751603">
        <w:instrText xml:space="preserve"> DOCPROPERTY  ePubDate  \* MERGEFORMAT </w:instrText>
      </w:r>
      <w:r w:rsidR="00751603">
        <w:fldChar w:fldCharType="separate"/>
      </w:r>
      <w:r w:rsidR="007C499F">
        <w:t>17/07/2024</w:t>
      </w:r>
      <w:r w:rsidR="00751603">
        <w:fldChar w:fldCharType="end"/>
      </w:r>
    </w:p>
    <w:p w14:paraId="2AAA43A2" w14:textId="77777777" w:rsidR="007C499F" w:rsidRDefault="007C499F" w:rsidP="007C499F">
      <w:pPr>
        <w:pStyle w:val="Title"/>
        <w:divId w:val="935526654"/>
      </w:pPr>
      <w:r w:rsidRPr="007C499F">
        <w:t>Changes in norovirus incidence in Victoria, Australia, 2022: are we back to normal yet after COVID?</w:t>
      </w:r>
    </w:p>
    <w:p w14:paraId="3D2F5067" w14:textId="62DB2CBE" w:rsidR="007A33B9" w:rsidRPr="007C499F" w:rsidRDefault="007C499F" w:rsidP="007C499F">
      <w:pPr>
        <w:pStyle w:val="Subtitle"/>
        <w:divId w:val="935526654"/>
      </w:pPr>
      <w:r w:rsidRPr="007C499F">
        <w:t>Leesa D Bruggink, Bruce Thorley</w:t>
      </w:r>
    </w:p>
    <w:p w14:paraId="5B2C4F5D" w14:textId="77777777" w:rsidR="0037146D" w:rsidRDefault="0037146D" w:rsidP="0037146D">
      <w:pPr>
        <w:pStyle w:val="Heading1"/>
        <w:divId w:val="935526654"/>
        <w:rPr>
          <w:lang w:val="en-GB"/>
        </w:rPr>
      </w:pPr>
      <w:r>
        <w:rPr>
          <w:lang w:val="en-GB"/>
        </w:rPr>
        <w:t>Abstract</w:t>
      </w:r>
    </w:p>
    <w:p w14:paraId="4DED9BB8" w14:textId="4C767BE0" w:rsidR="00620509" w:rsidRDefault="007C499F" w:rsidP="007C499F">
      <w:pPr>
        <w:pStyle w:val="Normal-morespace"/>
        <w:divId w:val="935526654"/>
        <w:rPr>
          <w:lang w:val="en-GB"/>
        </w:rPr>
      </w:pPr>
      <w:r w:rsidRPr="007C499F">
        <w:rPr>
          <w:lang w:val="en-GB"/>
        </w:rPr>
        <w:t>There were 108 norovirus-positive outbreaks in 2022, with 45 (41.7%) occurring during the first quarter (Q1), January–March. Aged care facilities accounted for 44.4% of norovirus-positive outbreaks; 43.5% were in childcare settings. Overall, the GII.P31/GII.4 genotype was the most common, involved in 39.4% of outbreaks; however, there were shifts in the most common genotype across the year. In Q1, the GII.P31/GII.4 genotype accounted for 73.3% of typed outbreaks, but by Q3 (July–September) the GII.P7/GII.6 was the most prominent genotype at 45.0%. In Q4 (October–December), the dominant genotype had changed again to GII.P16/GII.4 (52.6%). While the incidence of norovirus outbreaks in 2022 was average regarding overall prevalence and genotype diversity, there are still ongoing effects from the coronavirus disease 2019 (COVID-19) pandemic in relation to seasonality, outbreak demographics and specimen referral.</w:t>
      </w:r>
    </w:p>
    <w:p w14:paraId="39D32F20" w14:textId="1C37BF5B" w:rsidR="00620509" w:rsidRPr="006D508B" w:rsidRDefault="00620509" w:rsidP="00620509">
      <w:pPr>
        <w:pStyle w:val="CDIBoxTextGreen"/>
        <w:divId w:val="935526654"/>
        <w:rPr>
          <w:lang w:val="en-GB"/>
        </w:rPr>
      </w:pPr>
      <w:r w:rsidRPr="0037146D">
        <w:rPr>
          <w:lang w:val="en-GB"/>
        </w:rPr>
        <w:t xml:space="preserve">Keywords: </w:t>
      </w:r>
      <w:r w:rsidR="007C499F" w:rsidRPr="007C499F">
        <w:rPr>
          <w:lang w:val="en-GB"/>
        </w:rPr>
        <w:t>norovirus; viral gastroenteritis; childcare; outbreak; genotypes; COVID-19 restrictions</w:t>
      </w:r>
    </w:p>
    <w:p w14:paraId="29605260" w14:textId="77777777" w:rsidR="00852A62" w:rsidRPr="00852A62" w:rsidRDefault="00852A62" w:rsidP="00852A62">
      <w:pPr>
        <w:divId w:val="935526654"/>
        <w:rPr>
          <w:lang w:val="en-GB"/>
        </w:rPr>
      </w:pPr>
      <w:r w:rsidRPr="00852A62">
        <w:rPr>
          <w:lang w:val="en-GB"/>
        </w:rPr>
        <w:t>Noroviruses are non-enveloped single stranded ribonucleic acid (RNA) viruses that can cause gastroenteritis in individuals of all ages, primarily transmitted person-to-person with a faecal-oral pathway.</w:t>
      </w:r>
      <w:r w:rsidRPr="00852A62">
        <w:rPr>
          <w:vertAlign w:val="superscript"/>
          <w:lang w:val="en-GB"/>
        </w:rPr>
        <w:t>1</w:t>
      </w:r>
      <w:r w:rsidRPr="00852A62">
        <w:rPr>
          <w:lang w:val="en-GB"/>
        </w:rPr>
        <w:t xml:space="preserve"> Norovirus infection is recognised as a major cause of morbidity and mortality globally and is estimated to annually cause 212,000 deaths.</w:t>
      </w:r>
      <w:r w:rsidRPr="00852A62">
        <w:rPr>
          <w:vertAlign w:val="superscript"/>
          <w:lang w:val="en-GB"/>
        </w:rPr>
        <w:t>1</w:t>
      </w:r>
      <w:r w:rsidRPr="00852A62">
        <w:rPr>
          <w:lang w:val="en-GB"/>
        </w:rPr>
        <w:t xml:space="preserve"> Viral particles are particularly resilient, able to withstand temperatures from freezing to 60 °C as well as exposure to alcohol disinfectants.</w:t>
      </w:r>
      <w:r w:rsidRPr="00852A62">
        <w:rPr>
          <w:vertAlign w:val="superscript"/>
          <w:lang w:val="en-GB"/>
        </w:rPr>
        <w:t>1</w:t>
      </w:r>
      <w:r w:rsidRPr="00852A62">
        <w:rPr>
          <w:lang w:val="en-GB"/>
        </w:rPr>
        <w:t xml:space="preserve"> This has implications for the ease of transmissibility and difficulty in ensuring effective disinfection of surfaces when contamination has occurred. </w:t>
      </w:r>
    </w:p>
    <w:p w14:paraId="6F44F062" w14:textId="77777777" w:rsidR="00852A62" w:rsidRPr="00852A62" w:rsidRDefault="00852A62" w:rsidP="00852A62">
      <w:pPr>
        <w:divId w:val="935526654"/>
        <w:rPr>
          <w:lang w:val="en-GB"/>
        </w:rPr>
      </w:pPr>
      <w:r w:rsidRPr="00852A62">
        <w:rPr>
          <w:lang w:val="en-GB"/>
        </w:rPr>
        <w:lastRenderedPageBreak/>
        <w:t>Ten norovirus genogroups have been described, with genogroups one (GI), two (GII) and four (GIV) most often associated with human disease.</w:t>
      </w:r>
      <w:r w:rsidRPr="00852A62">
        <w:rPr>
          <w:vertAlign w:val="superscript"/>
          <w:lang w:val="en-GB"/>
        </w:rPr>
        <w:t>1</w:t>
      </w:r>
      <w:r w:rsidRPr="00852A62">
        <w:rPr>
          <w:lang w:val="en-GB"/>
        </w:rPr>
        <w:t xml:space="preserve"> However, GII noroviruses are by far the most common, globally accounting for approximately 93% of infections.</w:t>
      </w:r>
      <w:r w:rsidRPr="00852A62">
        <w:rPr>
          <w:vertAlign w:val="superscript"/>
          <w:lang w:val="en-GB"/>
        </w:rPr>
        <w:t>1</w:t>
      </w:r>
      <w:r w:rsidRPr="00852A62">
        <w:rPr>
          <w:lang w:val="en-GB"/>
        </w:rPr>
        <w:t xml:space="preserve"> </w:t>
      </w:r>
    </w:p>
    <w:p w14:paraId="42C6D2B1" w14:textId="77777777" w:rsidR="00852A62" w:rsidRPr="00852A62" w:rsidRDefault="00852A62" w:rsidP="00852A62">
      <w:pPr>
        <w:divId w:val="935526654"/>
        <w:rPr>
          <w:lang w:val="en-GB"/>
        </w:rPr>
      </w:pPr>
      <w:r w:rsidRPr="00852A62">
        <w:rPr>
          <w:lang w:val="en-GB"/>
        </w:rPr>
        <w:t>Norovirus incidence has been shown to occur all year round, with a baseline in Victoria, Australia, of up to nine norovirus positive outbreaks per calendar month.</w:t>
      </w:r>
      <w:r w:rsidRPr="00852A62">
        <w:rPr>
          <w:vertAlign w:val="superscript"/>
          <w:lang w:val="en-GB"/>
        </w:rPr>
        <w:t>2</w:t>
      </w:r>
      <w:r w:rsidRPr="00852A62">
        <w:rPr>
          <w:lang w:val="en-GB"/>
        </w:rPr>
        <w:t xml:space="preserve"> Most locations, including Europe and the United States of America, present with a yearly autumn/winter peak,</w:t>
      </w:r>
      <w:r w:rsidRPr="00852A62">
        <w:rPr>
          <w:vertAlign w:val="superscript"/>
          <w:lang w:val="en-GB"/>
        </w:rPr>
        <w:t>3–6</w:t>
      </w:r>
      <w:r w:rsidRPr="00852A62">
        <w:rPr>
          <w:lang w:val="en-GB"/>
        </w:rPr>
        <w:t xml:space="preserve"> although in Australia and New Zealand there is a tendency to have a spring/early summer peak.</w:t>
      </w:r>
      <w:r w:rsidRPr="00852A62">
        <w:rPr>
          <w:vertAlign w:val="superscript"/>
          <w:lang w:val="en-GB"/>
        </w:rPr>
        <w:t>2,7,8</w:t>
      </w:r>
      <w:r w:rsidRPr="00852A62">
        <w:rPr>
          <w:lang w:val="en-GB"/>
        </w:rPr>
        <w:t xml:space="preserve"> Additionally, the years when a new pandemic strain has emerged are associated with a larger number of outbreaks than non-pandemic years.</w:t>
      </w:r>
      <w:r w:rsidRPr="00852A62">
        <w:rPr>
          <w:vertAlign w:val="superscript"/>
          <w:lang w:val="en-GB"/>
        </w:rPr>
        <w:t>3</w:t>
      </w:r>
    </w:p>
    <w:p w14:paraId="75C3AEDF" w14:textId="315BCB02" w:rsidR="00620509" w:rsidRDefault="00852A62" w:rsidP="00852A62">
      <w:pPr>
        <w:divId w:val="935526654"/>
      </w:pPr>
      <w:r w:rsidRPr="00852A62">
        <w:rPr>
          <w:lang w:val="en-GB"/>
        </w:rPr>
        <w:t>Gastroenteritis outbreaks are reported to the Victorian Department of Health and faecal specimens are sent to the Victorian Infectious Diseases Reference Laboratory (VIDRL) for norovirus testing. A gastroenteritis outbreak in a care facility is defined as ‘two or more residents/staff having onset of symptoms within 72 hours of each other (that cannot be explained by medication or other medical conditions) in a setting that makes epidemiological sense’.</w:t>
      </w:r>
      <w:r w:rsidRPr="00852A62">
        <w:rPr>
          <w:vertAlign w:val="superscript"/>
          <w:lang w:val="en-GB"/>
        </w:rPr>
        <w:t>9</w:t>
      </w:r>
      <w:r w:rsidRPr="00852A62">
        <w:t xml:space="preserve"> </w:t>
      </w:r>
      <w:r w:rsidRPr="00852A62">
        <w:t>In 2022, there were 814 gastroenteritis outbreaks notified in Victoria, and VIDRL received 398 faecal specimens from 155 outbreaks. The percentage of outbreaks with specimens referred in 2022 (19.0%) was down from the 2017–2019 average (29.9%) by about a third, even though notifications were increased above the 2017–2019 yearly average of 674 notifications (Table 1). A higher proportion of outbreaks were notified from childcare settings in 2022; however, a similar level of reduced referral was seen for all setting types, including childcare.</w:t>
      </w:r>
    </w:p>
    <w:p w14:paraId="5D6D7E1F" w14:textId="3F59E143" w:rsidR="00852A62" w:rsidRDefault="00852A62" w:rsidP="00852A62">
      <w:pPr>
        <w:pStyle w:val="CDIFigure-Table-Title"/>
        <w:divId w:val="935526654"/>
      </w:pPr>
      <w:r w:rsidRPr="00852A62">
        <w:t>Table 1: Gastroenteritis outbreak notifications in Victoria, Australia, 2017–2019 and 2022</w:t>
      </w:r>
    </w:p>
    <w:tbl>
      <w:tblPr>
        <w:tblW w:w="0" w:type="auto"/>
        <w:tblInd w:w="-8" w:type="dxa"/>
        <w:tblLayout w:type="fixed"/>
        <w:tblCellMar>
          <w:left w:w="0" w:type="dxa"/>
          <w:right w:w="0" w:type="dxa"/>
        </w:tblCellMar>
        <w:tblLook w:val="0000" w:firstRow="0" w:lastRow="0" w:firstColumn="0" w:lastColumn="0" w:noHBand="0" w:noVBand="0"/>
        <w:tblCaption w:val="Table 1: Gastroenteritis outbreak notifications in Victoria, Australia, 2017–2019 and 2022"/>
        <w:tblDescription w:val="Table 1 summarises the annual number of gastroenteritis outbreak notifications, and the number and percentage of such outbreaks with specimens received, in Victoria for each of the years 2017 to 2019 (the most recent years preceding the COVID-19 pandemic) and for 2022."/>
      </w:tblPr>
      <w:tblGrid>
        <w:gridCol w:w="2268"/>
        <w:gridCol w:w="3685"/>
        <w:gridCol w:w="3685"/>
      </w:tblGrid>
      <w:tr w:rsidR="00075075" w:rsidRPr="00075075" w14:paraId="54FB2720" w14:textId="77777777" w:rsidTr="001823B5">
        <w:tblPrEx>
          <w:tblCellMar>
            <w:top w:w="0" w:type="dxa"/>
            <w:left w:w="0" w:type="dxa"/>
            <w:bottom w:w="0" w:type="dxa"/>
            <w:right w:w="0" w:type="dxa"/>
          </w:tblCellMar>
        </w:tblPrEx>
        <w:trPr>
          <w:divId w:val="935526654"/>
          <w:trHeight w:val="60"/>
          <w:tblHeader/>
        </w:trPr>
        <w:tc>
          <w:tcPr>
            <w:tcW w:w="2268" w:type="dxa"/>
            <w:shd w:val="clear" w:color="auto" w:fill="033636" w:themeFill="text2"/>
            <w:tcMar>
              <w:top w:w="113" w:type="dxa"/>
              <w:left w:w="113" w:type="dxa"/>
              <w:bottom w:w="113" w:type="dxa"/>
              <w:right w:w="113" w:type="dxa"/>
            </w:tcMar>
            <w:vAlign w:val="center"/>
          </w:tcPr>
          <w:p w14:paraId="4975CC42" w14:textId="77777777" w:rsidR="00075075" w:rsidRPr="00075075" w:rsidRDefault="00075075" w:rsidP="00075075">
            <w:pPr>
              <w:pStyle w:val="CDIFigure-Table-H1Left"/>
            </w:pPr>
            <w:r w:rsidRPr="00075075">
              <w:t>Year</w:t>
            </w:r>
          </w:p>
        </w:tc>
        <w:tc>
          <w:tcPr>
            <w:tcW w:w="3685" w:type="dxa"/>
            <w:shd w:val="clear" w:color="auto" w:fill="033636" w:themeFill="text2"/>
            <w:tcMar>
              <w:top w:w="113" w:type="dxa"/>
              <w:left w:w="113" w:type="dxa"/>
              <w:bottom w:w="113" w:type="dxa"/>
              <w:right w:w="113" w:type="dxa"/>
            </w:tcMar>
            <w:vAlign w:val="center"/>
          </w:tcPr>
          <w:p w14:paraId="4729D6F8" w14:textId="053651F3" w:rsidR="00075075" w:rsidRPr="00075075" w:rsidRDefault="00075075" w:rsidP="00075075">
            <w:pPr>
              <w:pStyle w:val="CDIFigure-Table-H1"/>
            </w:pPr>
            <w:r w:rsidRPr="00075075">
              <w:t>Number of gastroenteritis</w:t>
            </w:r>
            <w:r>
              <w:t xml:space="preserve"> </w:t>
            </w:r>
            <w:r w:rsidRPr="00075075">
              <w:t>outbreak</w:t>
            </w:r>
            <w:r>
              <w:t> </w:t>
            </w:r>
            <w:r w:rsidRPr="00075075">
              <w:t>notifications</w:t>
            </w:r>
          </w:p>
        </w:tc>
        <w:tc>
          <w:tcPr>
            <w:tcW w:w="3685" w:type="dxa"/>
            <w:shd w:val="clear" w:color="auto" w:fill="033636" w:themeFill="text2"/>
            <w:tcMar>
              <w:top w:w="113" w:type="dxa"/>
              <w:left w:w="113" w:type="dxa"/>
              <w:bottom w:w="113" w:type="dxa"/>
              <w:right w:w="113" w:type="dxa"/>
            </w:tcMar>
            <w:vAlign w:val="center"/>
          </w:tcPr>
          <w:p w14:paraId="2B28BD83" w14:textId="14D3AABD" w:rsidR="00075075" w:rsidRPr="00075075" w:rsidRDefault="00075075" w:rsidP="00075075">
            <w:pPr>
              <w:pStyle w:val="CDIFigure-Table-H1"/>
            </w:pPr>
            <w:r w:rsidRPr="00075075">
              <w:t>Number of gastroenteritis outbreaks</w:t>
            </w:r>
            <w:r>
              <w:t xml:space="preserve"> </w:t>
            </w:r>
            <w:r w:rsidRPr="00075075">
              <w:t>with</w:t>
            </w:r>
            <w:r>
              <w:t> </w:t>
            </w:r>
            <w:r w:rsidRPr="00075075">
              <w:t>specimens received (%)</w:t>
            </w:r>
          </w:p>
        </w:tc>
      </w:tr>
      <w:tr w:rsidR="00075075" w:rsidRPr="00075075" w14:paraId="106397CA" w14:textId="77777777" w:rsidTr="00075075">
        <w:tblPrEx>
          <w:tblCellMar>
            <w:top w:w="0" w:type="dxa"/>
            <w:left w:w="0" w:type="dxa"/>
            <w:bottom w:w="0" w:type="dxa"/>
            <w:right w:w="0" w:type="dxa"/>
          </w:tblCellMar>
        </w:tblPrEx>
        <w:trPr>
          <w:divId w:val="935526654"/>
          <w:trHeight w:val="60"/>
        </w:trPr>
        <w:tc>
          <w:tcPr>
            <w:tcW w:w="2268" w:type="dxa"/>
            <w:tcMar>
              <w:top w:w="113" w:type="dxa"/>
              <w:left w:w="113" w:type="dxa"/>
              <w:bottom w:w="113" w:type="dxa"/>
              <w:right w:w="113" w:type="dxa"/>
            </w:tcMar>
            <w:vAlign w:val="center"/>
          </w:tcPr>
          <w:p w14:paraId="4218DCFA" w14:textId="77777777" w:rsidR="00075075" w:rsidRPr="00075075" w:rsidRDefault="00075075" w:rsidP="00075075">
            <w:pPr>
              <w:pStyle w:val="CDIFigure-Table-BodyTextLeft"/>
            </w:pPr>
            <w:r w:rsidRPr="00075075">
              <w:t>2017</w:t>
            </w:r>
          </w:p>
        </w:tc>
        <w:tc>
          <w:tcPr>
            <w:tcW w:w="3685" w:type="dxa"/>
            <w:tcMar>
              <w:top w:w="113" w:type="dxa"/>
              <w:left w:w="113" w:type="dxa"/>
              <w:bottom w:w="113" w:type="dxa"/>
              <w:right w:w="113" w:type="dxa"/>
            </w:tcMar>
            <w:vAlign w:val="center"/>
          </w:tcPr>
          <w:p w14:paraId="4EE2414E" w14:textId="77777777" w:rsidR="00075075" w:rsidRPr="00075075" w:rsidRDefault="00075075" w:rsidP="00075075">
            <w:pPr>
              <w:pStyle w:val="CDIFigure-Table-BodyTextCentre"/>
            </w:pPr>
            <w:r w:rsidRPr="00075075">
              <w:t>825</w:t>
            </w:r>
          </w:p>
        </w:tc>
        <w:tc>
          <w:tcPr>
            <w:tcW w:w="3685" w:type="dxa"/>
            <w:tcMar>
              <w:top w:w="113" w:type="dxa"/>
              <w:left w:w="113" w:type="dxa"/>
              <w:bottom w:w="113" w:type="dxa"/>
              <w:right w:w="113" w:type="dxa"/>
            </w:tcMar>
            <w:vAlign w:val="center"/>
          </w:tcPr>
          <w:p w14:paraId="58F0290C" w14:textId="77777777" w:rsidR="00075075" w:rsidRPr="00075075" w:rsidRDefault="00075075" w:rsidP="00075075">
            <w:pPr>
              <w:pStyle w:val="CDIFigure-Table-BodyTextCentre"/>
            </w:pPr>
            <w:r w:rsidRPr="00075075">
              <w:t>260 (31.5%)</w:t>
            </w:r>
          </w:p>
        </w:tc>
      </w:tr>
      <w:tr w:rsidR="00075075" w:rsidRPr="00075075" w14:paraId="3007CE54" w14:textId="77777777" w:rsidTr="00075075">
        <w:tblPrEx>
          <w:tblCellMar>
            <w:top w:w="0" w:type="dxa"/>
            <w:left w:w="0" w:type="dxa"/>
            <w:bottom w:w="0" w:type="dxa"/>
            <w:right w:w="0" w:type="dxa"/>
          </w:tblCellMar>
        </w:tblPrEx>
        <w:trPr>
          <w:divId w:val="935526654"/>
          <w:trHeight w:val="60"/>
        </w:trPr>
        <w:tc>
          <w:tcPr>
            <w:tcW w:w="2268" w:type="dxa"/>
            <w:tcMar>
              <w:top w:w="113" w:type="dxa"/>
              <w:left w:w="113" w:type="dxa"/>
              <w:bottom w:w="113" w:type="dxa"/>
              <w:right w:w="113" w:type="dxa"/>
            </w:tcMar>
            <w:vAlign w:val="center"/>
          </w:tcPr>
          <w:p w14:paraId="57C2DF79" w14:textId="77777777" w:rsidR="00075075" w:rsidRPr="00075075" w:rsidRDefault="00075075" w:rsidP="00075075">
            <w:pPr>
              <w:pStyle w:val="CDIFigure-Table-BodyTextLeft"/>
            </w:pPr>
            <w:r w:rsidRPr="00075075">
              <w:t>2018</w:t>
            </w:r>
          </w:p>
        </w:tc>
        <w:tc>
          <w:tcPr>
            <w:tcW w:w="3685" w:type="dxa"/>
            <w:tcMar>
              <w:top w:w="113" w:type="dxa"/>
              <w:left w:w="113" w:type="dxa"/>
              <w:bottom w:w="113" w:type="dxa"/>
              <w:right w:w="113" w:type="dxa"/>
            </w:tcMar>
            <w:vAlign w:val="center"/>
          </w:tcPr>
          <w:p w14:paraId="6A03FC8C" w14:textId="77777777" w:rsidR="00075075" w:rsidRPr="00075075" w:rsidRDefault="00075075" w:rsidP="00075075">
            <w:pPr>
              <w:pStyle w:val="CDIFigure-Table-BodyTextCentre"/>
            </w:pPr>
            <w:r w:rsidRPr="00075075">
              <w:t>570</w:t>
            </w:r>
          </w:p>
        </w:tc>
        <w:tc>
          <w:tcPr>
            <w:tcW w:w="3685" w:type="dxa"/>
            <w:tcMar>
              <w:top w:w="113" w:type="dxa"/>
              <w:left w:w="113" w:type="dxa"/>
              <w:bottom w:w="113" w:type="dxa"/>
              <w:right w:w="113" w:type="dxa"/>
            </w:tcMar>
            <w:vAlign w:val="center"/>
          </w:tcPr>
          <w:p w14:paraId="35FC6DA9" w14:textId="77777777" w:rsidR="00075075" w:rsidRPr="00075075" w:rsidRDefault="00075075" w:rsidP="00075075">
            <w:pPr>
              <w:pStyle w:val="CDIFigure-Table-BodyTextCentre"/>
            </w:pPr>
            <w:r w:rsidRPr="00075075">
              <w:t>159 (27.9%)</w:t>
            </w:r>
          </w:p>
        </w:tc>
      </w:tr>
      <w:tr w:rsidR="00075075" w:rsidRPr="00075075" w14:paraId="48CA2589" w14:textId="77777777" w:rsidTr="00075075">
        <w:tblPrEx>
          <w:tblCellMar>
            <w:top w:w="0" w:type="dxa"/>
            <w:left w:w="0" w:type="dxa"/>
            <w:bottom w:w="0" w:type="dxa"/>
            <w:right w:w="0" w:type="dxa"/>
          </w:tblCellMar>
        </w:tblPrEx>
        <w:trPr>
          <w:divId w:val="935526654"/>
          <w:trHeight w:val="60"/>
        </w:trPr>
        <w:tc>
          <w:tcPr>
            <w:tcW w:w="2268" w:type="dxa"/>
            <w:tcMar>
              <w:top w:w="113" w:type="dxa"/>
              <w:left w:w="113" w:type="dxa"/>
              <w:bottom w:w="113" w:type="dxa"/>
              <w:right w:w="113" w:type="dxa"/>
            </w:tcMar>
            <w:vAlign w:val="center"/>
          </w:tcPr>
          <w:p w14:paraId="36832F81" w14:textId="77777777" w:rsidR="00075075" w:rsidRPr="00075075" w:rsidRDefault="00075075" w:rsidP="00075075">
            <w:pPr>
              <w:pStyle w:val="CDIFigure-Table-BodyTextLeft"/>
            </w:pPr>
            <w:r w:rsidRPr="00075075">
              <w:t>2019</w:t>
            </w:r>
          </w:p>
        </w:tc>
        <w:tc>
          <w:tcPr>
            <w:tcW w:w="3685" w:type="dxa"/>
            <w:tcMar>
              <w:top w:w="113" w:type="dxa"/>
              <w:left w:w="113" w:type="dxa"/>
              <w:bottom w:w="113" w:type="dxa"/>
              <w:right w:w="113" w:type="dxa"/>
            </w:tcMar>
            <w:vAlign w:val="center"/>
          </w:tcPr>
          <w:p w14:paraId="61C22A2C" w14:textId="77777777" w:rsidR="00075075" w:rsidRPr="00075075" w:rsidRDefault="00075075" w:rsidP="00075075">
            <w:pPr>
              <w:pStyle w:val="CDIFigure-Table-BodyTextCentre"/>
            </w:pPr>
            <w:r w:rsidRPr="00075075">
              <w:t>628</w:t>
            </w:r>
          </w:p>
        </w:tc>
        <w:tc>
          <w:tcPr>
            <w:tcW w:w="3685" w:type="dxa"/>
            <w:tcMar>
              <w:top w:w="113" w:type="dxa"/>
              <w:left w:w="113" w:type="dxa"/>
              <w:bottom w:w="113" w:type="dxa"/>
              <w:right w:w="113" w:type="dxa"/>
            </w:tcMar>
            <w:vAlign w:val="center"/>
          </w:tcPr>
          <w:p w14:paraId="70D8D0AB" w14:textId="77777777" w:rsidR="00075075" w:rsidRPr="00075075" w:rsidRDefault="00075075" w:rsidP="00075075">
            <w:pPr>
              <w:pStyle w:val="CDIFigure-Table-BodyTextCentre"/>
            </w:pPr>
            <w:r w:rsidRPr="00075075">
              <w:t>186 (29.6%)</w:t>
            </w:r>
          </w:p>
        </w:tc>
      </w:tr>
      <w:tr w:rsidR="00075075" w:rsidRPr="00075075" w14:paraId="2B8A5287" w14:textId="77777777" w:rsidTr="001823B5">
        <w:tblPrEx>
          <w:tblCellMar>
            <w:top w:w="0" w:type="dxa"/>
            <w:left w:w="0" w:type="dxa"/>
            <w:bottom w:w="0" w:type="dxa"/>
            <w:right w:w="0" w:type="dxa"/>
          </w:tblCellMar>
        </w:tblPrEx>
        <w:trPr>
          <w:divId w:val="935526654"/>
          <w:trHeight w:val="60"/>
        </w:trPr>
        <w:tc>
          <w:tcPr>
            <w:tcW w:w="2268" w:type="dxa"/>
            <w:shd w:val="clear" w:color="auto" w:fill="C5FFEF" w:themeFill="background2" w:themeFillTint="33"/>
            <w:tcMar>
              <w:top w:w="113" w:type="dxa"/>
              <w:left w:w="113" w:type="dxa"/>
              <w:bottom w:w="113" w:type="dxa"/>
              <w:right w:w="113" w:type="dxa"/>
            </w:tcMar>
            <w:vAlign w:val="center"/>
          </w:tcPr>
          <w:p w14:paraId="0E0EC487" w14:textId="77777777" w:rsidR="00075075" w:rsidRPr="00075075" w:rsidRDefault="00075075" w:rsidP="00075075">
            <w:pPr>
              <w:pStyle w:val="CDIFigure-Table-BodyTextLeft"/>
            </w:pPr>
            <w:r w:rsidRPr="00075075">
              <w:t>3-year average 2017–2019</w:t>
            </w:r>
          </w:p>
        </w:tc>
        <w:tc>
          <w:tcPr>
            <w:tcW w:w="3685" w:type="dxa"/>
            <w:shd w:val="clear" w:color="auto" w:fill="C5FFEF" w:themeFill="background2" w:themeFillTint="33"/>
            <w:tcMar>
              <w:top w:w="113" w:type="dxa"/>
              <w:left w:w="113" w:type="dxa"/>
              <w:bottom w:w="113" w:type="dxa"/>
              <w:right w:w="113" w:type="dxa"/>
            </w:tcMar>
            <w:vAlign w:val="center"/>
          </w:tcPr>
          <w:p w14:paraId="679614A8" w14:textId="77777777" w:rsidR="00075075" w:rsidRPr="00075075" w:rsidRDefault="00075075" w:rsidP="00075075">
            <w:pPr>
              <w:pStyle w:val="CDIFigure-Table-BodyTextCentre"/>
            </w:pPr>
            <w:r w:rsidRPr="00075075">
              <w:t>674.3</w:t>
            </w:r>
          </w:p>
        </w:tc>
        <w:tc>
          <w:tcPr>
            <w:tcW w:w="3685" w:type="dxa"/>
            <w:shd w:val="clear" w:color="auto" w:fill="C5FFEF" w:themeFill="background2" w:themeFillTint="33"/>
            <w:tcMar>
              <w:top w:w="113" w:type="dxa"/>
              <w:left w:w="113" w:type="dxa"/>
              <w:bottom w:w="113" w:type="dxa"/>
              <w:right w:w="113" w:type="dxa"/>
            </w:tcMar>
            <w:vAlign w:val="center"/>
          </w:tcPr>
          <w:p w14:paraId="03A351EB" w14:textId="77777777" w:rsidR="00075075" w:rsidRPr="00075075" w:rsidRDefault="00075075" w:rsidP="00075075">
            <w:pPr>
              <w:pStyle w:val="CDIFigure-Table-BodyTextCentre"/>
            </w:pPr>
            <w:r w:rsidRPr="00075075">
              <w:t>201.7 (29.9%)</w:t>
            </w:r>
          </w:p>
        </w:tc>
      </w:tr>
      <w:tr w:rsidR="00075075" w:rsidRPr="00075075" w14:paraId="3EA85A67" w14:textId="77777777" w:rsidTr="001823B5">
        <w:tblPrEx>
          <w:tblCellMar>
            <w:top w:w="0" w:type="dxa"/>
            <w:left w:w="0" w:type="dxa"/>
            <w:bottom w:w="0" w:type="dxa"/>
            <w:right w:w="0" w:type="dxa"/>
          </w:tblCellMar>
        </w:tblPrEx>
        <w:trPr>
          <w:divId w:val="935526654"/>
          <w:trHeight w:val="60"/>
        </w:trPr>
        <w:tc>
          <w:tcPr>
            <w:tcW w:w="2268" w:type="dxa"/>
            <w:tcBorders>
              <w:bottom w:val="single" w:sz="4" w:space="0" w:color="033636" w:themeColor="text2"/>
            </w:tcBorders>
            <w:tcMar>
              <w:top w:w="113" w:type="dxa"/>
              <w:left w:w="113" w:type="dxa"/>
              <w:bottom w:w="113" w:type="dxa"/>
              <w:right w:w="113" w:type="dxa"/>
            </w:tcMar>
            <w:vAlign w:val="center"/>
          </w:tcPr>
          <w:p w14:paraId="748CDAAF" w14:textId="77777777" w:rsidR="00075075" w:rsidRPr="00075075" w:rsidRDefault="00075075" w:rsidP="00075075">
            <w:pPr>
              <w:pStyle w:val="CDIFigure-Table-BodyTextLeft"/>
            </w:pPr>
            <w:r w:rsidRPr="00075075">
              <w:t>2022</w:t>
            </w:r>
          </w:p>
        </w:tc>
        <w:tc>
          <w:tcPr>
            <w:tcW w:w="3685" w:type="dxa"/>
            <w:tcBorders>
              <w:bottom w:val="single" w:sz="4" w:space="0" w:color="033636" w:themeColor="text2"/>
            </w:tcBorders>
            <w:tcMar>
              <w:top w:w="113" w:type="dxa"/>
              <w:left w:w="113" w:type="dxa"/>
              <w:bottom w:w="113" w:type="dxa"/>
              <w:right w:w="113" w:type="dxa"/>
            </w:tcMar>
            <w:vAlign w:val="center"/>
          </w:tcPr>
          <w:p w14:paraId="5AAE5D04" w14:textId="77777777" w:rsidR="00075075" w:rsidRPr="00075075" w:rsidRDefault="00075075" w:rsidP="00075075">
            <w:pPr>
              <w:pStyle w:val="CDIFigure-Table-BodyTextCentre"/>
            </w:pPr>
            <w:r w:rsidRPr="00075075">
              <w:t>814</w:t>
            </w:r>
          </w:p>
        </w:tc>
        <w:tc>
          <w:tcPr>
            <w:tcW w:w="3685" w:type="dxa"/>
            <w:tcBorders>
              <w:bottom w:val="single" w:sz="4" w:space="0" w:color="033636" w:themeColor="text2"/>
            </w:tcBorders>
            <w:tcMar>
              <w:top w:w="113" w:type="dxa"/>
              <w:left w:w="113" w:type="dxa"/>
              <w:bottom w:w="113" w:type="dxa"/>
              <w:right w:w="113" w:type="dxa"/>
            </w:tcMar>
            <w:vAlign w:val="center"/>
          </w:tcPr>
          <w:p w14:paraId="6E333C97" w14:textId="77777777" w:rsidR="00075075" w:rsidRPr="00075075" w:rsidRDefault="00075075" w:rsidP="00075075">
            <w:pPr>
              <w:pStyle w:val="CDIFigure-Table-BodyTextCentre"/>
            </w:pPr>
            <w:r w:rsidRPr="00075075">
              <w:t>155 (19.0%)</w:t>
            </w:r>
          </w:p>
        </w:tc>
      </w:tr>
    </w:tbl>
    <w:p w14:paraId="2FB56E8C" w14:textId="77777777" w:rsidR="00852A62" w:rsidRPr="00852A62" w:rsidRDefault="00852A62" w:rsidP="00852A62">
      <w:pPr>
        <w:divId w:val="935526654"/>
        <w:rPr>
          <w:lang w:val="en-GB"/>
        </w:rPr>
      </w:pPr>
      <w:r w:rsidRPr="00852A62">
        <w:rPr>
          <w:lang w:val="en-GB"/>
        </w:rPr>
        <w:t>Norovirus is detected using a commercial real-time reverse transcription polymerase chain reaction assay (RT-qPCR), RIDAGENE Norovirus I &amp; II, R-</w:t>
      </w:r>
      <w:proofErr w:type="spellStart"/>
      <w:r w:rsidRPr="00852A62">
        <w:rPr>
          <w:lang w:val="en-GB"/>
        </w:rPr>
        <w:t>Biopharm</w:t>
      </w:r>
      <w:proofErr w:type="spellEnd"/>
      <w:r w:rsidRPr="00852A62">
        <w:rPr>
          <w:lang w:val="en-GB"/>
        </w:rPr>
        <w:t>, PG1415.</w:t>
      </w:r>
      <w:r w:rsidRPr="00852A62">
        <w:rPr>
          <w:vertAlign w:val="superscript"/>
          <w:lang w:val="en-GB"/>
        </w:rPr>
        <w:t>10</w:t>
      </w:r>
      <w:r w:rsidRPr="00852A62">
        <w:rPr>
          <w:lang w:val="en-GB"/>
        </w:rPr>
        <w:t xml:space="preserve"> At least one specimen received from each norovirus-positive outbreak undergoes genotyping for epidemiological purposes. From a given outbreak, specimens chosen for genotyping have the lowest cycle threshold and therefore potentially the highest viral load and test sensitivity. Genotyping is performed on both the polymerase and capsid regions of the viral genome to identify recombinant viruses. All specimens included in this study were referred from outbreaks occurring in Victoria, Australia. Data are collected as part of routine clinical microbiology testing for public health surveillance purposes and specimens are deidentified, representing a low risk that is exempt from needing human ethics approval.</w:t>
      </w:r>
    </w:p>
    <w:p w14:paraId="5E5EC96C" w14:textId="77777777" w:rsidR="00852A62" w:rsidRPr="00852A62" w:rsidRDefault="00852A62" w:rsidP="00852A62">
      <w:pPr>
        <w:divId w:val="935526654"/>
        <w:rPr>
          <w:lang w:val="en-GB"/>
        </w:rPr>
      </w:pPr>
      <w:r w:rsidRPr="00852A62">
        <w:rPr>
          <w:lang w:val="en-GB"/>
        </w:rPr>
        <w:t xml:space="preserve">In 2022, of the 155 outbreaks with specimens received at VIDRL, norovirus was detected in 108 (69.7%). Norovirus genogroup II (GII) was detected in 87 outbreaks (80.6%), norovirus genogroup I (GI) in 16 outbreaks (14.8%) and both GI and GII norovirus in five outbreaks (4.6%). The monthly distribution of </w:t>
      </w:r>
      <w:r w:rsidRPr="00852A62">
        <w:rPr>
          <w:lang w:val="en-GB"/>
        </w:rPr>
        <w:lastRenderedPageBreak/>
        <w:t xml:space="preserve">norovirus positive outbreaks, along with a breakdown of their settings, is shown in Figure 1. In 2022, 41.7% of norovirus positive outbreaks occurred in January–March (Q1). </w:t>
      </w:r>
    </w:p>
    <w:p w14:paraId="4EA53B59" w14:textId="6B82CE57" w:rsidR="00852A62" w:rsidRDefault="00852A62" w:rsidP="00852A62">
      <w:pPr>
        <w:pStyle w:val="CDIFigure-Table-Title"/>
        <w:divId w:val="935526654"/>
      </w:pPr>
      <w:r w:rsidRPr="00852A62">
        <w:t>Figure 1: Monthly norovirus positive outbreaks in Victoria, Australia, in 2022</w:t>
      </w:r>
      <w:r w:rsidRPr="00852A62">
        <w:rPr>
          <w:vertAlign w:val="superscript"/>
        </w:rPr>
        <w:t>a</w:t>
      </w:r>
    </w:p>
    <w:p w14:paraId="1B0F097B" w14:textId="483FEA36" w:rsidR="00852A62" w:rsidRDefault="001823B5" w:rsidP="00852A62">
      <w:pPr>
        <w:pStyle w:val="CDIFigure-Table-ImagePlaceholder"/>
        <w:divId w:val="935526654"/>
      </w:pPr>
      <w:r>
        <w:rPr>
          <w:noProof/>
          <w14:ligatures w14:val="none"/>
        </w:rPr>
        <w:drawing>
          <wp:inline distT="0" distB="0" distL="0" distR="0" wp14:anchorId="5708EFDC" wp14:editId="58A8F2E9">
            <wp:extent cx="6099835" cy="3488886"/>
            <wp:effectExtent l="0" t="0" r="0" b="0"/>
            <wp:docPr id="2" name="Picture 2" descr="A monthly stacked bar graph of norovirus incidence in the 2022 calendar year, broken into setting categories aged care, childcare, healthcare and community (other). For the 2022 calendar year, 41.7% of norovirus positive outbreaks occurred in Q1 2022 (Jan – Mar). This was followed by a dip in norovirus outbreaks in Q2, and another increase in Jul – Aug. However, a sharp drop off occurred for Sep – Oct, but norovirus incidence was rapidly rising again by 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onthly stacked bar graph of norovirus incidence in the 2022 calendar year, broken into setting categories aged care, childcare, healthcare and community (other). For the 2022 calendar year, 41.7% of norovirus positive outbreaks occurred in Q1 2022 (Jan – Mar). This was followed by a dip in norovirus outbreaks in Q2, and another increase in Jul – Aug. However, a sharp drop off occurred for Sep – Oct, but norovirus incidence was rapidly rising again by December."/>
                    <pic:cNvPicPr/>
                  </pic:nvPicPr>
                  <pic:blipFill>
                    <a:blip r:embed="rId9">
                      <a:extLst>
                        <a:ext uri="{28A0092B-C50C-407E-A947-70E740481C1C}">
                          <a14:useLocalDpi xmlns:a14="http://schemas.microsoft.com/office/drawing/2010/main" val="0"/>
                        </a:ext>
                      </a:extLst>
                    </a:blip>
                    <a:stretch>
                      <a:fillRect/>
                    </a:stretch>
                  </pic:blipFill>
                  <pic:spPr>
                    <a:xfrm>
                      <a:off x="0" y="0"/>
                      <a:ext cx="6099835" cy="3488886"/>
                    </a:xfrm>
                    <a:prstGeom prst="rect">
                      <a:avLst/>
                    </a:prstGeom>
                  </pic:spPr>
                </pic:pic>
              </a:graphicData>
            </a:graphic>
          </wp:inline>
        </w:drawing>
      </w:r>
    </w:p>
    <w:p w14:paraId="284DEE9D" w14:textId="71FDF82E" w:rsidR="00852A62" w:rsidRDefault="00852A62" w:rsidP="00852A62">
      <w:pPr>
        <w:pStyle w:val="CDIFigure-Table-FirstFootnote"/>
        <w:divId w:val="935526654"/>
      </w:pPr>
      <w:proofErr w:type="spellStart"/>
      <w:r w:rsidRPr="00852A62">
        <w:t>a</w:t>
      </w:r>
      <w:proofErr w:type="spellEnd"/>
      <w:r w:rsidRPr="00852A62">
        <w:tab/>
      </w:r>
      <w:proofErr w:type="gramStart"/>
      <w:r w:rsidRPr="00852A62">
        <w:t>The</w:t>
      </w:r>
      <w:proofErr w:type="gramEnd"/>
      <w:r w:rsidRPr="00852A62">
        <w:t xml:space="preserve"> category ‘Healthcare’ includes disability care facilities and hospital wards. The category ‘Community (other)’ includes gatherings, restaurants, </w:t>
      </w:r>
      <w:proofErr w:type="gramStart"/>
      <w:r w:rsidRPr="00852A62">
        <w:t>camps</w:t>
      </w:r>
      <w:proofErr w:type="gramEnd"/>
      <w:r w:rsidRPr="00852A62">
        <w:t xml:space="preserve"> and military barracks.</w:t>
      </w:r>
    </w:p>
    <w:p w14:paraId="16F87199" w14:textId="77777777" w:rsidR="00852A62" w:rsidRPr="00852A62" w:rsidRDefault="00852A62" w:rsidP="00852A62">
      <w:pPr>
        <w:divId w:val="935526654"/>
        <w:rPr>
          <w:lang w:val="en-GB"/>
        </w:rPr>
      </w:pPr>
      <w:r w:rsidRPr="00852A62">
        <w:rPr>
          <w:lang w:val="en-GB"/>
        </w:rPr>
        <w:t>The predominant setting for norovirus-positive outbreaks in 2022 was aged care (44.4%; n = 48), closely followed by childcare centres (43.5%; n = 47) and then community settings (9.3%; n = 10). Norovirus outbreaks at healthcare settings (other than aged care) were still infrequent (2.8%; n = 3), most probably due to continued COVID-19 precautions such as visitor restrictions/requirements and enhanced cleaning processes. In the years immediately preceding the start of the COVID-19 pandemic (</w:t>
      </w:r>
      <w:proofErr w:type="gramStart"/>
      <w:r w:rsidRPr="00852A62">
        <w:rPr>
          <w:lang w:val="en-GB"/>
        </w:rPr>
        <w:t>i.e.</w:t>
      </w:r>
      <w:proofErr w:type="gramEnd"/>
      <w:r w:rsidRPr="00852A62">
        <w:rPr>
          <w:lang w:val="en-GB"/>
        </w:rPr>
        <w:t xml:space="preserve"> 2017–2019), approximately two thirds of norovirus outbreaks detected at VIDRL were from aged care settings (67.3%), followed by childcare (13.4%) then community settings (11.2%) and healthcare other than aged care (8.0%).</w:t>
      </w:r>
    </w:p>
    <w:p w14:paraId="542AC044" w14:textId="77777777" w:rsidR="00852A62" w:rsidRPr="00852A62" w:rsidRDefault="00852A62" w:rsidP="00852A62">
      <w:pPr>
        <w:divId w:val="935526654"/>
        <w:rPr>
          <w:lang w:val="en-GB"/>
        </w:rPr>
      </w:pPr>
      <w:r w:rsidRPr="00852A62">
        <w:rPr>
          <w:lang w:val="en-GB"/>
        </w:rPr>
        <w:t>In 2022, at least one specimen was typed from 100 of the 108 outbreaks with norovirus detected by RT-qPCR. Norovirus from eight outbreaks could not be typed due to a low viral load as evidenced by a high cycle threshold value in the RT-qPCR assay. Monthly genotyping results are displayed in Figure 2. The predominant genotype for the year was GII.P31/GII.4 (39.4%); however, the dominant genotype varied across the year. In Q1 (January–March), the GII.P31/GII.4 genotype accounted for 73.3% of typed outbreaks, but by Q3 (July–September) the GII.P7/GII.6 was the most prominent genotype at 45.0%. In Q4 (October–December), the major genotype was GII.P16/GII.4 (52.6%), which was the dominant genotype pre-pandemic in 2019 and early 2020.</w:t>
      </w:r>
    </w:p>
    <w:p w14:paraId="1B9CB74B" w14:textId="1C32A8E0" w:rsidR="00852A62" w:rsidRDefault="00852A62" w:rsidP="00852A62">
      <w:pPr>
        <w:pStyle w:val="CDIFigure-Table-Title"/>
        <w:divId w:val="935526654"/>
      </w:pPr>
      <w:r w:rsidRPr="00852A62">
        <w:lastRenderedPageBreak/>
        <w:t>Figure 2: Monthly norovirus genotyping results in Victoria, Australia, in 2022</w:t>
      </w:r>
      <w:r w:rsidRPr="00852A62">
        <w:rPr>
          <w:vertAlign w:val="superscript"/>
        </w:rPr>
        <w:t>a</w:t>
      </w:r>
    </w:p>
    <w:p w14:paraId="6A0FB960" w14:textId="4CA36AF9" w:rsidR="00852A62" w:rsidRDefault="001823B5" w:rsidP="00852A62">
      <w:pPr>
        <w:pStyle w:val="CDIFigure-Table-ImagePlaceholder"/>
        <w:divId w:val="935526654"/>
      </w:pPr>
      <w:r>
        <w:rPr>
          <w:noProof/>
          <w14:ligatures w14:val="none"/>
        </w:rPr>
        <w:drawing>
          <wp:inline distT="0" distB="0" distL="0" distR="0" wp14:anchorId="344BC240" wp14:editId="1EA4F1F5">
            <wp:extent cx="6104408" cy="4001016"/>
            <wp:effectExtent l="0" t="0" r="0" b="0"/>
            <wp:docPr id="3" name="Picture 3" descr="A monthly 100% stacked column graph of norovirus genotypes in the 2022 calendar year, broken into genotype categories GII.P31/GII.4, GII.P7/GII.6, GII.P16/GII.4, other GII and GI. The dominant genotype varied across the year. In Q1, the GII.P31/GII.4 genotype accounted for 73.3% of typed outbreaks, and this petered out into Q2. But by Q3, the GII.P7/GII.6 was the most prominent genotype at 45.0%. In Q4, the dominant genotype had changed again to GII.P16/GII.4 (52.6%). A low number of “Other GII” and “GI” persisted across the year in most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onthly 100% stacked column graph of norovirus genotypes in the 2022 calendar year, broken into genotype categories GII.P31/GII.4, GII.P7/GII.6, GII.P16/GII.4, other GII and GI. The dominant genotype varied across the year. In Q1, the GII.P31/GII.4 genotype accounted for 73.3% of typed outbreaks, and this petered out into Q2. But by Q3, the GII.P7/GII.6 was the most prominent genotype at 45.0%. In Q4, the dominant genotype had changed again to GII.P16/GII.4 (52.6%). A low number of “Other GII” and “GI” persisted across the year in most months."/>
                    <pic:cNvPicPr/>
                  </pic:nvPicPr>
                  <pic:blipFill>
                    <a:blip r:embed="rId10">
                      <a:extLst>
                        <a:ext uri="{28A0092B-C50C-407E-A947-70E740481C1C}">
                          <a14:useLocalDpi xmlns:a14="http://schemas.microsoft.com/office/drawing/2010/main" val="0"/>
                        </a:ext>
                      </a:extLst>
                    </a:blip>
                    <a:stretch>
                      <a:fillRect/>
                    </a:stretch>
                  </pic:blipFill>
                  <pic:spPr>
                    <a:xfrm>
                      <a:off x="0" y="0"/>
                      <a:ext cx="6104408" cy="4001016"/>
                    </a:xfrm>
                    <a:prstGeom prst="rect">
                      <a:avLst/>
                    </a:prstGeom>
                  </pic:spPr>
                </pic:pic>
              </a:graphicData>
            </a:graphic>
          </wp:inline>
        </w:drawing>
      </w:r>
    </w:p>
    <w:p w14:paraId="6BDEBD3D" w14:textId="5024D405" w:rsidR="00852A62" w:rsidRDefault="00852A62" w:rsidP="00852A62">
      <w:pPr>
        <w:pStyle w:val="CDIFigure-Table-FirstFootnote"/>
        <w:divId w:val="935526654"/>
      </w:pPr>
      <w:proofErr w:type="spellStart"/>
      <w:r w:rsidRPr="00852A62">
        <w:t>a</w:t>
      </w:r>
      <w:proofErr w:type="spellEnd"/>
      <w:r w:rsidRPr="00852A62">
        <w:tab/>
      </w:r>
      <w:proofErr w:type="gramStart"/>
      <w:r w:rsidRPr="00852A62">
        <w:t>The</w:t>
      </w:r>
      <w:proofErr w:type="gramEnd"/>
      <w:r w:rsidRPr="00852A62">
        <w:t xml:space="preserve"> first half of the genotype designates the typing of the polymerase region and the second half the capsid region (i.e. polymerase/capsid). The ‘Other GII’ combined category includes eight separate genotypes. The ‘GI’ combined category includes four separate genotypes.</w:t>
      </w:r>
    </w:p>
    <w:p w14:paraId="285293A9" w14:textId="77777777" w:rsidR="00852A62" w:rsidRPr="00852A62" w:rsidRDefault="00852A62" w:rsidP="00852A62">
      <w:pPr>
        <w:divId w:val="935526654"/>
        <w:rPr>
          <w:lang w:val="en-GB"/>
        </w:rPr>
      </w:pPr>
      <w:r w:rsidRPr="00852A62">
        <w:rPr>
          <w:lang w:val="en-GB"/>
        </w:rPr>
        <w:t xml:space="preserve">As noted previously, the number of norovirus outbreak notifications in 2022 was higher than the three-year average for the years just prior to the COVID-19 pandemic; however, the percentage of outbreaks with specimens referred to VIDRL was down. This study is limited, in that there is no way to know if sample referral was reduced due to a continued shift in focus to COVID-19 during this period, or because of ‘testing fatigue’ of institutes and individuals. As this reduction was observed across all setting types, including both the two main settings, aged </w:t>
      </w:r>
      <w:proofErr w:type="gramStart"/>
      <w:r w:rsidRPr="00852A62">
        <w:rPr>
          <w:lang w:val="en-GB"/>
        </w:rPr>
        <w:t>care</w:t>
      </w:r>
      <w:proofErr w:type="gramEnd"/>
      <w:r w:rsidRPr="00852A62">
        <w:rPr>
          <w:lang w:val="en-GB"/>
        </w:rPr>
        <w:t xml:space="preserve"> and childcare, it is not a result of demographics.</w:t>
      </w:r>
    </w:p>
    <w:p w14:paraId="062BEEC3" w14:textId="77777777" w:rsidR="00852A62" w:rsidRPr="00852A62" w:rsidRDefault="00852A62" w:rsidP="00852A62">
      <w:pPr>
        <w:divId w:val="935526654"/>
        <w:rPr>
          <w:lang w:val="en-GB"/>
        </w:rPr>
      </w:pPr>
      <w:r w:rsidRPr="00852A62">
        <w:rPr>
          <w:lang w:val="en-GB"/>
        </w:rPr>
        <w:t>With the lifting of non-pharmaceutical interventions (such as lockdowns, mask wearing and social distancing) used in the response to COVID-19, there was considered to be a risk of resurgence of other infectious diseases.</w:t>
      </w:r>
      <w:r w:rsidRPr="00852A62">
        <w:rPr>
          <w:vertAlign w:val="superscript"/>
          <w:lang w:val="en-GB"/>
        </w:rPr>
        <w:t>11</w:t>
      </w:r>
      <w:r w:rsidRPr="00852A62">
        <w:rPr>
          <w:lang w:val="en-GB"/>
        </w:rPr>
        <w:t xml:space="preserve"> Such an increase was forecast in England, where modelling predicted that the annual norovirus incidence may be double that of a typical season, due to low levels of norovirus incidence during 2020–2021 resulting in a largely susceptible population, and that out of season and/or particularly intense outbreaks of disease could occur.</w:t>
      </w:r>
      <w:r w:rsidRPr="00852A62">
        <w:rPr>
          <w:vertAlign w:val="superscript"/>
          <w:lang w:val="en-GB"/>
        </w:rPr>
        <w:t>12</w:t>
      </w:r>
      <w:r w:rsidRPr="00852A62">
        <w:rPr>
          <w:lang w:val="en-GB"/>
        </w:rPr>
        <w:t xml:space="preserve"> To an extent, this has been reported in Victoria with a large increase of norovirus outbreaks in childcare at the start of 2021 when general restrictions were eased.</w:t>
      </w:r>
      <w:r w:rsidRPr="00852A62">
        <w:rPr>
          <w:vertAlign w:val="superscript"/>
          <w:lang w:val="en-GB"/>
        </w:rPr>
        <w:t>13</w:t>
      </w:r>
      <w:r w:rsidRPr="00852A62">
        <w:rPr>
          <w:lang w:val="en-GB"/>
        </w:rPr>
        <w:t xml:space="preserve"> However, further public health restrictions were re-imposed throughout 2021 before there was a transition to the lifting of almost all restrictions by the end of that year, including the resumption of international travel. The implication was that a larger than average norovirus season could be experienced in 2022.</w:t>
      </w:r>
      <w:r w:rsidRPr="00852A62">
        <w:rPr>
          <w:vertAlign w:val="superscript"/>
          <w:lang w:val="en-GB"/>
        </w:rPr>
        <w:t>13</w:t>
      </w:r>
      <w:r w:rsidRPr="00852A62">
        <w:rPr>
          <w:lang w:val="en-GB"/>
        </w:rPr>
        <w:t xml:space="preserve"> While norovirus incidence in 2022 was not exceptionally high, the peak in incidence falling in Q1 was unseasonal. For the 18-year period prior to the pandemic (2002–2019), 83% of those years had a peak in norovirus incidence in the second half of the year (Q3 33%; Q4 50%), with only one year (2013) having a peak in norovirus incidence in Q1 with continued outbreaks from a late peak the previous year. There was also a </w:t>
      </w:r>
      <w:r w:rsidRPr="00852A62">
        <w:rPr>
          <w:lang w:val="en-GB"/>
        </w:rPr>
        <w:lastRenderedPageBreak/>
        <w:t xml:space="preserve">renewal of norovirus genotype diversity in 2022, with 15 different polymerase/capsid genotype combinations detected, comparable to the pre-pandemic (2017-2019) average of 14.7. The 2020–2021 average was only five combinations. </w:t>
      </w:r>
    </w:p>
    <w:p w14:paraId="5E735B32" w14:textId="77777777" w:rsidR="00852A62" w:rsidRPr="00852A62" w:rsidRDefault="00852A62" w:rsidP="00852A62">
      <w:pPr>
        <w:divId w:val="935526654"/>
        <w:rPr>
          <w:lang w:val="en-GB"/>
        </w:rPr>
      </w:pPr>
      <w:r w:rsidRPr="00852A62">
        <w:rPr>
          <w:lang w:val="en-GB"/>
        </w:rPr>
        <w:t>In summary, the proportion of norovirus outbreaks confirmed in 2022 was evenly divided between aged care and childcare settings, whereas prior to the COVID-19 pandemic, most norovirus outbreaks were reported from aged care facilities. While the number of gastroenteritis outbreak notifications increased in 2022 compared to pre-pandemic levels, the referral of specimens for screening and typing decreased. The referral of more specimens from gastroenteritis outbreaks is needed to determine the extent of norovirus transmission in different settings.</w:t>
      </w:r>
    </w:p>
    <w:p w14:paraId="1CA87097" w14:textId="0BD0AB37" w:rsidR="007C499F" w:rsidRDefault="007C499F" w:rsidP="007C499F">
      <w:pPr>
        <w:pStyle w:val="Heading1"/>
        <w:divId w:val="935526654"/>
      </w:pPr>
      <w:r>
        <w:t>Author details</w:t>
      </w:r>
    </w:p>
    <w:p w14:paraId="26FB5E78" w14:textId="77777777" w:rsidR="00852A62" w:rsidRDefault="00852A62" w:rsidP="00852A62">
      <w:pPr>
        <w:divId w:val="935526654"/>
      </w:pPr>
      <w:r>
        <w:t>Dr Leesa D Bruggink, Senior Medical Scientist</w:t>
      </w:r>
      <w:r w:rsidRPr="00852A62">
        <w:rPr>
          <w:vertAlign w:val="superscript"/>
        </w:rPr>
        <w:t>1</w:t>
      </w:r>
    </w:p>
    <w:p w14:paraId="1463E5A2" w14:textId="77777777" w:rsidR="00852A62" w:rsidRDefault="00852A62" w:rsidP="00852A62">
      <w:pPr>
        <w:pStyle w:val="Normal-lessspace"/>
        <w:divId w:val="935526654"/>
      </w:pPr>
      <w:r>
        <w:t>Dr Bruce Thorley, Head of the Enteric Virus Laboratory</w:t>
      </w:r>
      <w:r w:rsidRPr="00852A62">
        <w:rPr>
          <w:vertAlign w:val="superscript"/>
        </w:rPr>
        <w:t>1</w:t>
      </w:r>
    </w:p>
    <w:p w14:paraId="576D28A1" w14:textId="77777777" w:rsidR="00852A62" w:rsidRDefault="00852A62" w:rsidP="00852A62">
      <w:pPr>
        <w:pStyle w:val="CDINumberedList1L1"/>
        <w:divId w:val="935526654"/>
      </w:pPr>
      <w:r>
        <w:t>Enteric Virus Laboratory, Victorian Infectious Diseases Reference Laboratory (VIDRL), Royal Melbourne Hospital, at the Peter Doherty Institute for Infection and Immunity.</w:t>
      </w:r>
    </w:p>
    <w:p w14:paraId="11BC8BD9" w14:textId="77777777" w:rsidR="00852A62" w:rsidRPr="00852A62" w:rsidRDefault="00852A62" w:rsidP="00852A62">
      <w:pPr>
        <w:divId w:val="935526654"/>
        <w:rPr>
          <w:rStyle w:val="Bold"/>
        </w:rPr>
      </w:pPr>
      <w:r w:rsidRPr="00852A62">
        <w:rPr>
          <w:rStyle w:val="Bold"/>
        </w:rPr>
        <w:t>Corresponding author</w:t>
      </w:r>
    </w:p>
    <w:p w14:paraId="094DB1C4" w14:textId="77777777" w:rsidR="00852A62" w:rsidRDefault="00852A62" w:rsidP="00852A62">
      <w:pPr>
        <w:divId w:val="935526654"/>
      </w:pPr>
      <w:r>
        <w:t>Leesa D Bruggink</w:t>
      </w:r>
    </w:p>
    <w:p w14:paraId="04A96CF2" w14:textId="77777777" w:rsidR="00852A62" w:rsidRDefault="00852A62" w:rsidP="00852A62">
      <w:pPr>
        <w:pStyle w:val="Normal-lessspace"/>
        <w:divId w:val="935526654"/>
      </w:pPr>
      <w:r>
        <w:t>Victorian Infectious Diseases Reference Laboratory, Royal Melbourne Hospital, at the Peter Doherty Institute for Infection and Immunity, 792 Elizabeth St, Melbourne, Victoria, Australia</w:t>
      </w:r>
    </w:p>
    <w:p w14:paraId="72C530FD" w14:textId="77777777" w:rsidR="00852A62" w:rsidRDefault="00852A62" w:rsidP="00852A62">
      <w:pPr>
        <w:pStyle w:val="Normal-lessspace"/>
        <w:divId w:val="935526654"/>
      </w:pPr>
      <w:r>
        <w:t>Phone: +61 3 9342 9607</w:t>
      </w:r>
    </w:p>
    <w:p w14:paraId="46FA8941" w14:textId="11F55924" w:rsidR="007C499F" w:rsidRPr="007A2D74" w:rsidRDefault="00852A62" w:rsidP="00852A62">
      <w:pPr>
        <w:pStyle w:val="Normal-lessspace"/>
        <w:divId w:val="935526654"/>
      </w:pPr>
      <w:r>
        <w:t>Email: leesa.bruggink@vidrl.org.au</w:t>
      </w:r>
      <w:r w:rsidR="007C499F" w:rsidRPr="007A2D74">
        <w:br w:type="page"/>
      </w:r>
    </w:p>
    <w:p w14:paraId="14706512" w14:textId="77777777" w:rsidR="007C499F" w:rsidRDefault="007C499F" w:rsidP="007C499F">
      <w:pPr>
        <w:pStyle w:val="Heading1"/>
        <w:divId w:val="935526654"/>
      </w:pPr>
      <w:r>
        <w:lastRenderedPageBreak/>
        <w:t>References</w:t>
      </w:r>
    </w:p>
    <w:p w14:paraId="050864A6" w14:textId="77777777" w:rsidR="00055758" w:rsidRDefault="00055758" w:rsidP="00055758">
      <w:pPr>
        <w:pStyle w:val="CDINumberedList1L1"/>
        <w:numPr>
          <w:ilvl w:val="0"/>
          <w:numId w:val="33"/>
        </w:numPr>
        <w:divId w:val="935526654"/>
      </w:pPr>
      <w:r>
        <w:t xml:space="preserve">Lucero Y, Matson DO, Ashkenazi S, George S, </w:t>
      </w:r>
      <w:proofErr w:type="spellStart"/>
      <w:r>
        <w:t>O’Ryan</w:t>
      </w:r>
      <w:proofErr w:type="spellEnd"/>
      <w:r>
        <w:t xml:space="preserve"> M. Norovirus: facts and reflections from past, present, and future. </w:t>
      </w:r>
      <w:r>
        <w:rPr>
          <w:rStyle w:val="Italic"/>
        </w:rPr>
        <w:t>Viruses</w:t>
      </w:r>
      <w:r>
        <w:t>. 2021;13(12):2399. doi: https://doi.org/10.3390/v13122399.</w:t>
      </w:r>
    </w:p>
    <w:p w14:paraId="2E09E6CF" w14:textId="77777777" w:rsidR="00055758" w:rsidRDefault="00055758" w:rsidP="00055758">
      <w:pPr>
        <w:pStyle w:val="CDINumberedList1L1-lessspace"/>
        <w:divId w:val="935526654"/>
      </w:pPr>
      <w:r>
        <w:t xml:space="preserve">Bruggink LD, Sturge K, Gaston J, Gregory J, Catton MG, Marshall JA. Patterns of norovirus-associated gastroenteritis outbreaks in Victoria 2001–2010. </w:t>
      </w:r>
      <w:r>
        <w:rPr>
          <w:rStyle w:val="Italic"/>
        </w:rPr>
        <w:t>Victorian Infect Dis Bull</w:t>
      </w:r>
      <w:r>
        <w:t xml:space="preserve">. </w:t>
      </w:r>
      <w:proofErr w:type="gramStart"/>
      <w:r>
        <w:t>2011;14:78</w:t>
      </w:r>
      <w:proofErr w:type="gramEnd"/>
      <w:r>
        <w:t>–81.</w:t>
      </w:r>
    </w:p>
    <w:p w14:paraId="4CE85702" w14:textId="77777777" w:rsidR="00055758" w:rsidRDefault="00055758" w:rsidP="00055758">
      <w:pPr>
        <w:pStyle w:val="CDINumberedList1L1-lessspace"/>
        <w:divId w:val="935526654"/>
      </w:pPr>
      <w:r>
        <w:t xml:space="preserve">Hall AJ, </w:t>
      </w:r>
      <w:proofErr w:type="spellStart"/>
      <w:r>
        <w:t>Lopman</w:t>
      </w:r>
      <w:proofErr w:type="spellEnd"/>
      <w:r>
        <w:t xml:space="preserve"> BA, Payne DC, Patel MM, </w:t>
      </w:r>
      <w:proofErr w:type="spellStart"/>
      <w:r>
        <w:t>Gastanaduy</w:t>
      </w:r>
      <w:proofErr w:type="spellEnd"/>
      <w:r>
        <w:t xml:space="preserve"> PA, </w:t>
      </w:r>
      <w:proofErr w:type="spellStart"/>
      <w:r>
        <w:t>Vinjé</w:t>
      </w:r>
      <w:proofErr w:type="spellEnd"/>
      <w:r>
        <w:t xml:space="preserve"> J et al. Norovirus disease in the United States. </w:t>
      </w:r>
      <w:proofErr w:type="spellStart"/>
      <w:r>
        <w:rPr>
          <w:rStyle w:val="Italic"/>
        </w:rPr>
        <w:t>Emerg</w:t>
      </w:r>
      <w:proofErr w:type="spellEnd"/>
      <w:r>
        <w:rPr>
          <w:rStyle w:val="Italic"/>
        </w:rPr>
        <w:t xml:space="preserve"> Infect Dis</w:t>
      </w:r>
      <w:r>
        <w:t>. 2013;19(8):1198–205. doi: https://doi.org/10.3201/eid1908.130465.</w:t>
      </w:r>
    </w:p>
    <w:p w14:paraId="085ED055" w14:textId="0B8CEC28" w:rsidR="00055758" w:rsidRDefault="00055758" w:rsidP="00055758">
      <w:pPr>
        <w:pStyle w:val="CDINumberedList1L1-lessspace"/>
        <w:divId w:val="935526654"/>
      </w:pPr>
      <w:proofErr w:type="spellStart"/>
      <w:r>
        <w:t>Lopman</w:t>
      </w:r>
      <w:proofErr w:type="spellEnd"/>
      <w:r>
        <w:t xml:space="preserve"> B, </w:t>
      </w:r>
      <w:proofErr w:type="spellStart"/>
      <w:r>
        <w:t>Vennema</w:t>
      </w:r>
      <w:proofErr w:type="spellEnd"/>
      <w:r>
        <w:t xml:space="preserve"> H, Kohli E, </w:t>
      </w:r>
      <w:proofErr w:type="spellStart"/>
      <w:r>
        <w:t>Pothier</w:t>
      </w:r>
      <w:proofErr w:type="spellEnd"/>
      <w:r>
        <w:t xml:space="preserve"> P, Sanchez A, Negredo A et al. Increase in viral </w:t>
      </w:r>
      <w:r>
        <w:t>gastroenteritis</w:t>
      </w:r>
      <w:r>
        <w:t xml:space="preserve"> outbreaks in Europe and epidemic spread of new norovirus variant. </w:t>
      </w:r>
      <w:r>
        <w:rPr>
          <w:rStyle w:val="Italic"/>
        </w:rPr>
        <w:t>Lancet</w:t>
      </w:r>
      <w:r>
        <w:t xml:space="preserve">. 2004;363(9410):682–8. </w:t>
      </w:r>
      <w:r>
        <w:t xml:space="preserve">doi: https://doi.org/10.1016/S0140-6736(04)15641-9. </w:t>
      </w:r>
    </w:p>
    <w:p w14:paraId="386AEFDF" w14:textId="68EE1FD5" w:rsidR="00055758" w:rsidRDefault="00055758" w:rsidP="00055758">
      <w:pPr>
        <w:pStyle w:val="CDINumberedList1L1-lessspace"/>
        <w:divId w:val="935526654"/>
      </w:pPr>
      <w:r>
        <w:t xml:space="preserve">Mounts AW, Ando T, Koopmans M, </w:t>
      </w:r>
      <w:proofErr w:type="spellStart"/>
      <w:r>
        <w:t>Bresee</w:t>
      </w:r>
      <w:proofErr w:type="spellEnd"/>
      <w:r>
        <w:t xml:space="preserve"> JS, Noel J, Glass RI. Cold weather </w:t>
      </w:r>
      <w:r>
        <w:t>seasonality</w:t>
      </w:r>
      <w:r>
        <w:t xml:space="preserve"> of gastroenteritis associated with Norwalk-like virus. </w:t>
      </w:r>
      <w:r>
        <w:rPr>
          <w:rStyle w:val="Italic"/>
        </w:rPr>
        <w:t>J Infect Dis</w:t>
      </w:r>
      <w:r>
        <w:t>. 2000;181(</w:t>
      </w:r>
      <w:proofErr w:type="spellStart"/>
      <w:r>
        <w:t>Suppl</w:t>
      </w:r>
      <w:proofErr w:type="spellEnd"/>
      <w:r>
        <w:t xml:space="preserve"> 2</w:t>
      </w:r>
      <w:proofErr w:type="gramStart"/>
      <w:r>
        <w:t>):S</w:t>
      </w:r>
      <w:proofErr w:type="gramEnd"/>
      <w:r>
        <w:t xml:space="preserve">284–7. </w:t>
      </w:r>
      <w:r>
        <w:t>doi: https://doi.org/10.1086/315586.</w:t>
      </w:r>
    </w:p>
    <w:p w14:paraId="7981112E" w14:textId="75A8C1E0" w:rsidR="00055758" w:rsidRDefault="00055758" w:rsidP="00055758">
      <w:pPr>
        <w:pStyle w:val="CDINumberedList1L1-lessspace"/>
        <w:divId w:val="935526654"/>
      </w:pPr>
      <w:r>
        <w:t xml:space="preserve">Phillips G, Tam CC, Rodrigues LC, </w:t>
      </w:r>
      <w:proofErr w:type="spellStart"/>
      <w:r>
        <w:t>Lopman</w:t>
      </w:r>
      <w:proofErr w:type="spellEnd"/>
      <w:r>
        <w:t xml:space="preserve"> B. </w:t>
      </w:r>
      <w:proofErr w:type="gramStart"/>
      <w:r>
        <w:t>Prevalence</w:t>
      </w:r>
      <w:proofErr w:type="gramEnd"/>
      <w:r>
        <w:t xml:space="preserve"> and characteristics of </w:t>
      </w:r>
      <w:r>
        <w:t>asymptomatic</w:t>
      </w:r>
      <w:r>
        <w:t xml:space="preserve"> norovirus infection in the community in England. </w:t>
      </w:r>
      <w:proofErr w:type="spellStart"/>
      <w:r>
        <w:rPr>
          <w:rStyle w:val="Italic"/>
        </w:rPr>
        <w:t>Epidemiol</w:t>
      </w:r>
      <w:proofErr w:type="spellEnd"/>
      <w:r>
        <w:rPr>
          <w:rStyle w:val="Italic"/>
        </w:rPr>
        <w:t xml:space="preserve"> Infect</w:t>
      </w:r>
      <w:r>
        <w:t xml:space="preserve">. 2010;138(10):1454–8. </w:t>
      </w:r>
      <w:r>
        <w:t xml:space="preserve">doi: https://doi.org/10.1017/S0950268810000439. </w:t>
      </w:r>
    </w:p>
    <w:p w14:paraId="677D0360" w14:textId="77777777" w:rsidR="00055758" w:rsidRDefault="00055758" w:rsidP="00055758">
      <w:pPr>
        <w:pStyle w:val="CDINumberedList1L1-lessspace"/>
        <w:divId w:val="935526654"/>
      </w:pPr>
      <w:r>
        <w:t xml:space="preserve">Bruggink LD, Marshall JA. The incidence of norovirus-associated gastroenteritis outbreaks in Victoria, Australia (2002–2007) and their relationship with rainfall. </w:t>
      </w:r>
      <w:r>
        <w:rPr>
          <w:rStyle w:val="Italic"/>
        </w:rPr>
        <w:t>Int J Environ Res Public Health</w:t>
      </w:r>
      <w:r>
        <w:t>. 2010;7(7):2822–7. doi: https://doi.org/10.3390/ijerph7072822.</w:t>
      </w:r>
    </w:p>
    <w:p w14:paraId="41F768D8" w14:textId="5BC6D321" w:rsidR="00055758" w:rsidRDefault="00055758" w:rsidP="00055758">
      <w:pPr>
        <w:pStyle w:val="CDINumberedList1L1-lessspace"/>
        <w:divId w:val="935526654"/>
      </w:pPr>
      <w:r>
        <w:t>Greening GE, Hewitt J, Rivera-</w:t>
      </w:r>
      <w:proofErr w:type="spellStart"/>
      <w:r>
        <w:t>Aban</w:t>
      </w:r>
      <w:proofErr w:type="spellEnd"/>
      <w:r>
        <w:t xml:space="preserve"> M, Croucher D. Molecular epidemiology of norovirus </w:t>
      </w:r>
      <w:r>
        <w:t>gastroenteritis</w:t>
      </w:r>
      <w:r>
        <w:t xml:space="preserve"> outbreaks in New Zealand from 2002–2009. </w:t>
      </w:r>
      <w:r>
        <w:rPr>
          <w:rStyle w:val="Italic"/>
        </w:rPr>
        <w:t xml:space="preserve">J Med </w:t>
      </w:r>
      <w:proofErr w:type="spellStart"/>
      <w:r>
        <w:rPr>
          <w:rStyle w:val="Italic"/>
        </w:rPr>
        <w:t>Virol</w:t>
      </w:r>
      <w:proofErr w:type="spellEnd"/>
      <w:r>
        <w:t xml:space="preserve">. 2012;84(9):1449–58. </w:t>
      </w:r>
      <w:r>
        <w:t>doi: https://doi.org/10.1002/jmv.23349.</w:t>
      </w:r>
    </w:p>
    <w:p w14:paraId="4B7E00AF" w14:textId="77777777" w:rsidR="00055758" w:rsidRDefault="00055758" w:rsidP="00055758">
      <w:pPr>
        <w:pStyle w:val="CDINumberedList1L1-lessspace"/>
        <w:divId w:val="935526654"/>
      </w:pPr>
      <w:r>
        <w:t xml:space="preserve">Victoria State Government Department of Health. </w:t>
      </w:r>
      <w:r>
        <w:rPr>
          <w:rStyle w:val="Italic"/>
        </w:rPr>
        <w:t>Guidelines for the investigation of gastroenteritis for Environmental Health Officers</w:t>
      </w:r>
      <w:r>
        <w:t>. [Internet.] Melbourne: Victoria State Government Department of Health; 4 December 2020. [Accessed on 20 February 2023.] Available from: https://www.health.vic.gov.au/publications/guidelines-for-the-investigation-of-gastroenteritis-for-environmental-health-officers.</w:t>
      </w:r>
    </w:p>
    <w:p w14:paraId="3BED07BA" w14:textId="5C710C20" w:rsidR="00055758" w:rsidRDefault="00055758" w:rsidP="00055758">
      <w:pPr>
        <w:pStyle w:val="CDINumberedList1L1-lessspace"/>
        <w:divId w:val="935526654"/>
      </w:pPr>
      <w:r>
        <w:t xml:space="preserve">Dunbar NL, Bruggink LD, Marshal JA. Evaluation of the RIDAGENE real-time PCR assay for the detection of GI and GII norovirus. </w:t>
      </w:r>
      <w:proofErr w:type="spellStart"/>
      <w:r>
        <w:rPr>
          <w:rStyle w:val="Italic"/>
        </w:rPr>
        <w:t>Diagn</w:t>
      </w:r>
      <w:proofErr w:type="spellEnd"/>
      <w:r>
        <w:rPr>
          <w:rStyle w:val="Italic"/>
        </w:rPr>
        <w:t xml:space="preserve"> </w:t>
      </w:r>
      <w:proofErr w:type="spellStart"/>
      <w:r>
        <w:rPr>
          <w:rStyle w:val="Italic"/>
        </w:rPr>
        <w:t>Microbiol</w:t>
      </w:r>
      <w:proofErr w:type="spellEnd"/>
      <w:r>
        <w:rPr>
          <w:rStyle w:val="Italic"/>
        </w:rPr>
        <w:t xml:space="preserve"> Infect Dis</w:t>
      </w:r>
      <w:r>
        <w:t xml:space="preserve">. 2014;79(3):317–21. </w:t>
      </w:r>
      <w:r>
        <w:t>doi: https://doi.org/10.1016/j.diagmicrobio.2014.03.017.</w:t>
      </w:r>
    </w:p>
    <w:p w14:paraId="0F4E2F5C" w14:textId="0D1FC9DB" w:rsidR="00055758" w:rsidRDefault="00055758" w:rsidP="00055758">
      <w:pPr>
        <w:pStyle w:val="CDINumberedList1L1-lessspace"/>
        <w:divId w:val="935526654"/>
      </w:pPr>
      <w:r>
        <w:t xml:space="preserve">Oh KB, Doherty TM, Vetter V, </w:t>
      </w:r>
      <w:proofErr w:type="spellStart"/>
      <w:r>
        <w:t>Bonanni</w:t>
      </w:r>
      <w:proofErr w:type="spellEnd"/>
      <w:r>
        <w:t xml:space="preserve"> P. Lifting non-pharmaceutical interventions following the COVID-19 pandemic – the quiet before the storm? </w:t>
      </w:r>
      <w:r>
        <w:rPr>
          <w:rStyle w:val="Italic"/>
        </w:rPr>
        <w:t>Expert Rev Vaccines</w:t>
      </w:r>
      <w:r>
        <w:t xml:space="preserve">. 2022;21(11):1541–53. </w:t>
      </w:r>
      <w:r>
        <w:t>doi: https://doi.org/10.1080/14760584.2022.2117693.</w:t>
      </w:r>
    </w:p>
    <w:p w14:paraId="457B8628" w14:textId="34C2F3E9" w:rsidR="00055758" w:rsidRDefault="00055758" w:rsidP="00055758">
      <w:pPr>
        <w:pStyle w:val="CDINumberedList1L1-lessspace"/>
        <w:divId w:val="935526654"/>
      </w:pPr>
      <w:r>
        <w:t xml:space="preserve">O’Reilly KM, Sandman F, Allen D, Jarvis CI, </w:t>
      </w:r>
      <w:proofErr w:type="spellStart"/>
      <w:r>
        <w:t>Gimma</w:t>
      </w:r>
      <w:proofErr w:type="spellEnd"/>
      <w:r>
        <w:t xml:space="preserve"> A, Douglas A et al. Predicted norovirus </w:t>
      </w:r>
      <w:r>
        <w:t>resurgence</w:t>
      </w:r>
      <w:r>
        <w:t xml:space="preserve"> in 2021–2022 due to the relaxation of nonpharmaceutical interventions associated with COVID-19 restrictions in England: a mathematical </w:t>
      </w:r>
      <w:proofErr w:type="spellStart"/>
      <w:r>
        <w:t>modeling</w:t>
      </w:r>
      <w:proofErr w:type="spellEnd"/>
      <w:r>
        <w:t xml:space="preserve"> study. </w:t>
      </w:r>
      <w:r>
        <w:rPr>
          <w:rStyle w:val="Italic"/>
        </w:rPr>
        <w:t>BMC Med</w:t>
      </w:r>
      <w:r>
        <w:t xml:space="preserve">. 2021;19(1):299. </w:t>
      </w:r>
      <w:r>
        <w:t>doi: https://doi.org/10.1186/s12916-021-02153-8.</w:t>
      </w:r>
    </w:p>
    <w:p w14:paraId="6F188F74" w14:textId="624E174B" w:rsidR="00912A31" w:rsidRPr="00055758" w:rsidRDefault="00055758" w:rsidP="00055758">
      <w:pPr>
        <w:pStyle w:val="CDINumberedList1L1-lessspace"/>
      </w:pPr>
      <w:r w:rsidRPr="00055758">
        <w:t xml:space="preserve">Bruggink LD. Changes in norovirus incidence in Victoria, Australia, during the COVID-19 </w:t>
      </w:r>
      <w:r w:rsidRPr="00055758">
        <w:rPr/>
        <w:t>pandemic</w:t>
      </w:r>
      <w:r w:rsidRPr="00055758">
        <w:t xml:space="preserve">, 2020–2021. </w:t>
      </w:r>
      <w:r w:rsidRPr="00055758">
        <w:rPr>
          <w:rStyle w:val="Italic"/>
        </w:rPr>
        <w:t>Commun Dis Intell (2018)</w:t>
      </w:r>
      <w:r w:rsidRPr="00055758">
        <w:t>. 2022;46. doi: https://doi.org/10.33321/cdi.2022.46.61.</w:t>
      </w:r>
    </w:p>
    <w:p w14:paraId="02D9CD46" w14:textId="77777777" w:rsidR="001A26DD" w:rsidRDefault="001A26DD" w:rsidP="00055758">
      <w:pPr>
        <w:pStyle w:val="CDINumberedList1L1-lessspace"/>
        <w:divId w:val="935526654"/>
        <w:sectPr w:rsidR="001A26DD" w:rsidSect="00912A31">
          <w:headerReference w:type="even" r:id="rId11"/>
          <w:headerReference w:type="default" r:id="rId12"/>
          <w:footerReference w:type="even" r:id="rId13"/>
          <w:footerReference w:type="default" r:id="rId14"/>
          <w:headerReference w:type="first" r:id="rId15"/>
          <w:footerReference w:type="first" r:id="rId16"/>
          <w:pgSz w:w="11907" w:h="16840" w:code="9"/>
          <w:pgMar w:top="1304" w:right="1134" w:bottom="1304" w:left="1134" w:header="709" w:footer="527" w:gutter="0"/>
          <w:cols w:space="708"/>
          <w:titlePg/>
          <w:docGrid w:linePitch="360"/>
        </w:sectPr>
      </w:pPr>
    </w:p>
    <w:p w14:paraId="200A2A43"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41040908" w14:textId="77777777"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52DB56B1" w14:textId="77777777" w:rsidR="000705FF" w:rsidRPr="0089025E" w:rsidRDefault="000705FF" w:rsidP="00194A12">
      <w:pPr>
        <w:pStyle w:val="CDICopyrightText"/>
      </w:pPr>
      <w:r w:rsidRPr="0089025E">
        <w:t xml:space="preserve">© </w:t>
      </w:r>
      <w:r w:rsidR="00751603">
        <w:fldChar w:fldCharType="begin"/>
      </w:r>
      <w:r w:rsidR="00751603">
        <w:instrText xml:space="preserve"> DOCPROPERTY  Year  \* MERGEFORMAT </w:instrText>
      </w:r>
      <w:r w:rsidR="00751603">
        <w:fldChar w:fldCharType="separate"/>
      </w:r>
      <w:r w:rsidR="00DF176A">
        <w:t>2024</w:t>
      </w:r>
      <w:r w:rsidR="00751603">
        <w:fldChar w:fldCharType="end"/>
      </w:r>
      <w:r w:rsidRPr="0089025E">
        <w:t xml:space="preserve"> Commonwealth of Australia as represented by the Department of Health and Aged Care</w:t>
      </w:r>
    </w:p>
    <w:p w14:paraId="43999586" w14:textId="77777777" w:rsidR="00DE4482" w:rsidRPr="0089025E" w:rsidRDefault="00DE4482" w:rsidP="00194A12">
      <w:pPr>
        <w:pStyle w:val="CDICopyrightText"/>
      </w:pPr>
      <w:r w:rsidRPr="0089025E">
        <w:t>ISSN: 2209-6051 Online</w:t>
      </w:r>
    </w:p>
    <w:p w14:paraId="760A0B9F"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7A6CB9B6"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381D6B23" w14:textId="77777777" w:rsidR="000705FF" w:rsidRPr="00194A12" w:rsidRDefault="000705FF" w:rsidP="00194A12">
      <w:pPr>
        <w:pStyle w:val="CDICopyrightHeading"/>
      </w:pPr>
      <w:r w:rsidRPr="00194A12">
        <w:t>Restrictions</w:t>
      </w:r>
    </w:p>
    <w:p w14:paraId="5BA3E678"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39CD71BF"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1991724C"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7BDA9324"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0B4BBB80" w14:textId="77777777" w:rsidR="000705FF" w:rsidRPr="0089025E" w:rsidRDefault="000705FF" w:rsidP="00AC0F5D">
      <w:pPr>
        <w:pStyle w:val="CDICopyrightBullets"/>
      </w:pPr>
      <w:r w:rsidRPr="0089025E">
        <w:t>any signatures; and</w:t>
      </w:r>
    </w:p>
    <w:p w14:paraId="7364D4DF" w14:textId="77777777" w:rsidR="000705FF" w:rsidRPr="0089025E" w:rsidRDefault="000705FF" w:rsidP="00AC0F5D">
      <w:pPr>
        <w:pStyle w:val="CDICopyrightBullets"/>
      </w:pPr>
      <w:r w:rsidRPr="0089025E">
        <w:t xml:space="preserve">any material belonging to third parties. </w:t>
      </w:r>
    </w:p>
    <w:p w14:paraId="7E4751C4" w14:textId="77777777" w:rsidR="000F223B" w:rsidRPr="0089025E" w:rsidRDefault="000705FF" w:rsidP="00194A12">
      <w:pPr>
        <w:pStyle w:val="CDICopyrightHeading"/>
      </w:pPr>
      <w:r w:rsidRPr="0089025E">
        <w:t>Disclaimer</w:t>
      </w:r>
    </w:p>
    <w:p w14:paraId="1118B5A1"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7BFCAAD7" w14:textId="77777777" w:rsidR="000F223B" w:rsidRPr="0089025E" w:rsidRDefault="000705FF" w:rsidP="00194A12">
      <w:pPr>
        <w:pStyle w:val="CDICopyrightHeading"/>
      </w:pPr>
      <w:r w:rsidRPr="0089025E">
        <w:t>Enquiries</w:t>
      </w:r>
    </w:p>
    <w:p w14:paraId="2732F3A4"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7" w:history="1">
        <w:r w:rsidR="006307C1" w:rsidRPr="005A4A08">
          <w:rPr>
            <w:rStyle w:val="Hyperlink"/>
          </w:rPr>
          <w:t>cdi.editor@health.gov.au</w:t>
        </w:r>
      </w:hyperlink>
      <w:r w:rsidR="006307C1">
        <w:t xml:space="preserve"> </w:t>
      </w:r>
      <w:r w:rsidRPr="0089025E">
        <w:t xml:space="preserve"> </w:t>
      </w:r>
    </w:p>
    <w:p w14:paraId="68B9A607" w14:textId="77777777" w:rsidR="000F223B" w:rsidRPr="0089025E" w:rsidRDefault="000705FF" w:rsidP="00194A12">
      <w:pPr>
        <w:pStyle w:val="CDICopyrightHeading"/>
      </w:pPr>
      <w:r w:rsidRPr="0089025E">
        <w:t>Communicable Diseases Network Australia</w:t>
      </w:r>
    </w:p>
    <w:p w14:paraId="35235760"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27DBC8E1"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35B632C3"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proofErr w:type="gramStart"/>
      <w:r w:rsidR="00CF75DF" w:rsidRPr="0089025E">
        <w:t>Sheel</w:t>
      </w:r>
      <w:proofErr w:type="gramEnd"/>
      <w:r w:rsidR="00CF75DF" w:rsidRPr="0089025E">
        <w:t xml:space="preserve"> and Steph</w:t>
      </w:r>
      <w:r w:rsidR="00D33918">
        <w:t>anie</w:t>
      </w:r>
      <w:r w:rsidR="00CF75DF" w:rsidRPr="0089025E">
        <w:t> Williams</w:t>
      </w:r>
    </w:p>
    <w:p w14:paraId="29C62035" w14:textId="77777777" w:rsidR="00DE4482" w:rsidRPr="0089025E" w:rsidRDefault="000A5F42" w:rsidP="00194A12">
      <w:pPr>
        <w:pStyle w:val="CDICopyrightHeading"/>
      </w:pPr>
      <w:r w:rsidRPr="0089025E">
        <w:t>Contacts</w:t>
      </w:r>
    </w:p>
    <w:p w14:paraId="30CE6207" w14:textId="77777777" w:rsidR="00682E53" w:rsidRDefault="00E54BBD" w:rsidP="00194A12">
      <w:pPr>
        <w:pStyle w:val="CDICopyrightText"/>
      </w:pPr>
      <w:r w:rsidRPr="0089025E">
        <w:t>CDI is produced by</w:t>
      </w:r>
      <w:r w:rsidR="00682E53">
        <w:t>:</w:t>
      </w:r>
    </w:p>
    <w:p w14:paraId="78937909" w14:textId="77777777" w:rsidR="000A5F42" w:rsidRPr="0089025E" w:rsidRDefault="00DA2E9E" w:rsidP="00194A12">
      <w:pPr>
        <w:pStyle w:val="CDICopyrightText"/>
      </w:pPr>
      <w:r w:rsidRPr="0089025E">
        <w:t>Health Protection Policy &amp; Surveillance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4C974DF2" w14:textId="77777777" w:rsidR="00DA2E9E" w:rsidRPr="0089025E" w:rsidRDefault="00DA2E9E" w:rsidP="00194A12">
      <w:pPr>
        <w:pStyle w:val="CDICopyrightText"/>
      </w:pPr>
      <w:r w:rsidRPr="0089025E">
        <w:t xml:space="preserve">Website: </w:t>
      </w:r>
      <w:hyperlink r:id="rId18" w:history="1">
        <w:r w:rsidR="00AC0F5D" w:rsidRPr="000C6EB5">
          <w:rPr>
            <w:rStyle w:val="Hyperlink"/>
          </w:rPr>
          <w:t>www.health.gov.au/cdi</w:t>
        </w:r>
      </w:hyperlink>
      <w:r w:rsidR="00AC0F5D">
        <w:t xml:space="preserve"> </w:t>
      </w:r>
    </w:p>
    <w:p w14:paraId="63962A88" w14:textId="77777777" w:rsidR="000A5F42" w:rsidRPr="0089025E" w:rsidRDefault="000A5F42" w:rsidP="00194A12">
      <w:pPr>
        <w:pStyle w:val="CDICopyrightText"/>
      </w:pPr>
      <w:r w:rsidRPr="0089025E">
        <w:t xml:space="preserve">Email: </w:t>
      </w:r>
      <w:hyperlink r:id="rId19" w:history="1">
        <w:r w:rsidR="00AC0F5D" w:rsidRPr="000C6EB5">
          <w:rPr>
            <w:rStyle w:val="Hyperlink"/>
          </w:rPr>
          <w:t>cdi.editor@health.gov.au</w:t>
        </w:r>
      </w:hyperlink>
      <w:r w:rsidR="00AC0F5D">
        <w:t xml:space="preserve"> </w:t>
      </w:r>
    </w:p>
    <w:p w14:paraId="12EA99A5"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4D151A8B"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3DA82AE7" w14:textId="77777777" w:rsidR="000A5F42" w:rsidRPr="0089025E" w:rsidRDefault="000A5F42" w:rsidP="00194A12">
      <w:pPr>
        <w:pStyle w:val="CDICopyrightText"/>
      </w:pPr>
      <w:r w:rsidRPr="0089025E">
        <w:t xml:space="preserve">Further enquiries should be directed to: </w:t>
      </w:r>
      <w:hyperlink r:id="rId20" w:history="1">
        <w:r w:rsidR="00AC0F5D" w:rsidRPr="000C6EB5">
          <w:rPr>
            <w:rStyle w:val="Hyperlink"/>
          </w:rPr>
          <w:t>cdi.editor@health.gov.au</w:t>
        </w:r>
      </w:hyperlink>
      <w:r w:rsidR="00AC0F5D">
        <w:t xml:space="preserve"> </w:t>
      </w:r>
    </w:p>
    <w:sectPr w:rsidR="000A5F42" w:rsidRPr="0089025E" w:rsidSect="001A26DD">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4B5C" w14:textId="77777777" w:rsidR="00DF176A" w:rsidRDefault="00DF176A" w:rsidP="00E54DBA">
      <w:r>
        <w:separator/>
      </w:r>
    </w:p>
    <w:p w14:paraId="33ECC1E5" w14:textId="77777777" w:rsidR="00DF176A" w:rsidRDefault="00DF176A"/>
    <w:p w14:paraId="1CD72DE2" w14:textId="77777777" w:rsidR="00DF176A" w:rsidRDefault="00DF176A" w:rsidP="008714B0"/>
  </w:endnote>
  <w:endnote w:type="continuationSeparator" w:id="0">
    <w:p w14:paraId="7B03A74F" w14:textId="77777777" w:rsidR="00DF176A" w:rsidRDefault="00DF176A" w:rsidP="00E54DBA">
      <w:r>
        <w:continuationSeparator/>
      </w:r>
    </w:p>
    <w:p w14:paraId="56368CFD" w14:textId="77777777" w:rsidR="00DF176A" w:rsidRDefault="00DF176A"/>
    <w:p w14:paraId="05CBB987" w14:textId="77777777" w:rsidR="00DF176A" w:rsidRDefault="00DF176A"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2756"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4989" w14:textId="2BCA7026"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DF176A">
        <w:t>2024</w:t>
      </w:r>
    </w:fldSimple>
    <w:r w:rsidRPr="001D0612">
      <w:t xml:space="preserve"> </w:t>
    </w:r>
    <w:fldSimple w:instr=" DOCPROPERTY  Vol  \* MERGEFORMAT ">
      <w:r w:rsidR="00DF176A">
        <w:t>48</w:t>
      </w:r>
    </w:fldSimple>
    <w:r w:rsidRPr="001D0612">
      <w:t xml:space="preserve">  (</w:t>
    </w:r>
    <w:fldSimple w:instr=" DOCPROPERTY  DOI  \* MERGEFORMAT ">
      <w:r w:rsidR="007C499F">
        <w:t>https://doi.org/10.33321/cdi.2024.48.29</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7C499F">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43A7" w14:textId="77777777" w:rsidR="00A14629" w:rsidRDefault="00A14629" w:rsidP="00F664DD">
    <w:pPr>
      <w:pStyle w:val="CDIFirs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A2AD" w14:textId="77777777" w:rsidR="00DF176A" w:rsidRPr="00B91FB5" w:rsidRDefault="00DF176A" w:rsidP="00B91FB5">
      <w:pPr>
        <w:spacing w:line="240" w:lineRule="auto"/>
        <w:rPr>
          <w:sz w:val="18"/>
          <w:szCs w:val="18"/>
        </w:rPr>
      </w:pPr>
      <w:r w:rsidRPr="00B91FB5">
        <w:rPr>
          <w:sz w:val="18"/>
          <w:szCs w:val="18"/>
        </w:rPr>
        <w:separator/>
      </w:r>
    </w:p>
  </w:footnote>
  <w:footnote w:type="continuationSeparator" w:id="0">
    <w:p w14:paraId="63A33A05" w14:textId="77777777" w:rsidR="00DF176A" w:rsidRDefault="00DF176A" w:rsidP="00E54DBA">
      <w:r>
        <w:continuationSeparator/>
      </w:r>
    </w:p>
  </w:footnote>
  <w:footnote w:type="continuationNotice" w:id="1">
    <w:p w14:paraId="7714BA35" w14:textId="77777777" w:rsidR="00DF176A" w:rsidRPr="00224EFF" w:rsidRDefault="00DF176A"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0503"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4142"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57A0"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0999E89C" wp14:editId="707D6B6E">
          <wp:simplePos x="0" y="0"/>
          <wp:positionH relativeFrom="page">
            <wp:align>left</wp:align>
          </wp:positionH>
          <wp:positionV relativeFrom="page">
            <wp:align>top</wp:align>
          </wp:positionV>
          <wp:extent cx="7567200" cy="2268000"/>
          <wp:effectExtent l="0" t="0" r="0" b="0"/>
          <wp:wrapNone/>
          <wp:docPr id="1" name="Picture 1"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61375777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6A"/>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5758"/>
    <w:rsid w:val="0005643C"/>
    <w:rsid w:val="0006264A"/>
    <w:rsid w:val="00066764"/>
    <w:rsid w:val="000705FF"/>
    <w:rsid w:val="000733B3"/>
    <w:rsid w:val="00073D77"/>
    <w:rsid w:val="00075075"/>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23B5"/>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5AE2"/>
    <w:rsid w:val="00746080"/>
    <w:rsid w:val="0075144A"/>
    <w:rsid w:val="00751603"/>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499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A62"/>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76A"/>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568F"/>
  <w15:docId w15:val="{25C50A9C-1550-4CC1-A734-FB58597B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03"/>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55758"/>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055758"/>
    <w:pPr>
      <w:spacing w:after="120"/>
    </w:pPr>
  </w:style>
  <w:style w:type="character" w:customStyle="1" w:styleId="BodyTextChar">
    <w:name w:val="Body Text Char"/>
    <w:basedOn w:val="DefaultParagraphFont"/>
    <w:link w:val="BodyText"/>
    <w:uiPriority w:val="99"/>
    <w:semiHidden/>
    <w:rsid w:val="00055758"/>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health.gov.au/cdi"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_template_may_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CDI_template_may_2024.dotx</Template>
  <TotalTime>5</TotalTime>
  <Pages>7</Pages>
  <Words>2350</Words>
  <Characters>14762</Characters>
  <Application>Microsoft Office Word</Application>
  <DocSecurity>0</DocSecurity>
  <Lines>984</Lines>
  <Paragraphs>900</Paragraphs>
  <ScaleCrop>false</ScaleCrop>
  <HeadingPairs>
    <vt:vector size="2" baseType="variant">
      <vt:variant>
        <vt:lpstr>Title</vt:lpstr>
      </vt:variant>
      <vt:variant>
        <vt:i4>1</vt:i4>
      </vt:variant>
    </vt:vector>
  </HeadingPairs>
  <TitlesOfParts>
    <vt:vector size="1" baseType="lpstr">
      <vt:lpstr>Communicable Diseases Intelligence - Changes in norovirus incidence in Victoria, Australia, 2022: are we back to normal yet after COVID?</vt:lpstr>
    </vt:vector>
  </TitlesOfParts>
  <Company>Interim Australian Centre for Disease Control</Company>
  <LinksUpToDate>false</LinksUpToDate>
  <CharactersWithSpaces>16212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Changes in norovirus incidence in Victoria, Australia, 2022: are we back to normal yet after COVID?</dc:title>
  <dc:subject>The article outlines the incidence of norovirus outbreaks in Victoria, Australia for 2022, including molecular epidemiology of genotypes. There are comparisons to pre-COVID-19 averages to determine if the patterns usually observed have recovered after significant disruptions due to COVID-19 precautions, or if there are still differences evident in the norovirus outbreak epidemiology.</dc:subject>
  <dc:creator>Leesa D Bruggink; Bruce Thorley</dc:creator>
  <cp:keywords>norovirus; viral gastroenteritis; childcare; outbreak; genotypes; COVID-19 restrictions</cp:keywords>
  <dc:description>© Commonwealth of Australia CC BY-NC-ND</dc:description>
  <cp:revision>2</cp:revision>
  <cp:lastPrinted>2024-03-07T01:06:00Z</cp:lastPrinted>
  <dcterms:created xsi:type="dcterms:W3CDTF">2024-07-08T06:31:00Z</dcterms:created>
  <dcterms:modified xsi:type="dcterms:W3CDTF">2024-07-08T06:31:00Z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17/07/2024</vt:lpwstr>
  </property>
  <property fmtid="{D5CDD505-2E9C-101B-9397-08002B2CF9AE}" pid="5" name="DOI">
    <vt:lpwstr>https://doi.org/10.33321/cdi.2024.48.29</vt:lpwstr>
  </property>
</Properties>
</file>