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A987E" w14:textId="6A194A1E" w:rsidR="00BA2732" w:rsidRDefault="008B38CB" w:rsidP="003D033A">
      <w:pPr>
        <w:pStyle w:val="Title"/>
      </w:pPr>
      <w:r>
        <w:t>Amendment to ambulatory blood pressure monitoring item</w:t>
      </w:r>
    </w:p>
    <w:p w14:paraId="6EFD4B5B" w14:textId="73DD09E3" w:rsidR="00064168" w:rsidRDefault="00064168" w:rsidP="006F5073">
      <w:bookmarkStart w:id="0" w:name="_Hlk4568006"/>
      <w:r w:rsidRPr="00867595">
        <w:t xml:space="preserve">Last updated: </w:t>
      </w:r>
      <w:r w:rsidR="00327859">
        <w:t>7 October</w:t>
      </w:r>
      <w:r w:rsidR="003A67A8">
        <w:t xml:space="preserve"> </w:t>
      </w:r>
      <w:r w:rsidR="00E416BD">
        <w:t>202</w:t>
      </w:r>
      <w:r w:rsidR="008B38CB">
        <w:t>6</w:t>
      </w:r>
    </w:p>
    <w:p w14:paraId="775D1E07" w14:textId="2DF4D67F" w:rsidR="000C0475" w:rsidRPr="00A8695F" w:rsidRDefault="000C0475" w:rsidP="006F5073"/>
    <w:bookmarkEnd w:id="0"/>
    <w:p w14:paraId="296BB91C" w14:textId="26B18103" w:rsidR="006952BF" w:rsidRPr="006952BF" w:rsidRDefault="00064168" w:rsidP="006952BF">
      <w:pPr>
        <w:pStyle w:val="ListBullet"/>
      </w:pPr>
      <w:r w:rsidRPr="006F5073">
        <w:t xml:space="preserve">From </w:t>
      </w:r>
      <w:r w:rsidR="003D7877" w:rsidRPr="003A67A8">
        <w:rPr>
          <w:b/>
          <w:bCs/>
        </w:rPr>
        <w:t>1 November 2026</w:t>
      </w:r>
      <w:r w:rsidR="003D7877">
        <w:t xml:space="preserve">, the </w:t>
      </w:r>
      <w:r w:rsidR="006952BF" w:rsidRPr="006952BF">
        <w:t xml:space="preserve">descriptor for MBS item </w:t>
      </w:r>
      <w:r w:rsidR="006952BF" w:rsidRPr="006952BF">
        <w:rPr>
          <w:b/>
          <w:bCs/>
        </w:rPr>
        <w:t>11607</w:t>
      </w:r>
      <w:r w:rsidR="006952BF" w:rsidRPr="006952BF">
        <w:t xml:space="preserve"> is being amended to expand access to ambulatory </w:t>
      </w:r>
      <w:r w:rsidR="006952BF" w:rsidRPr="007C3546">
        <w:t>blood pressure monitoring (ABPM). The key change is the addition of eligibility criteria for children and adolescents aged 5 to under 18 years, using ag</w:t>
      </w:r>
      <w:r w:rsidR="00ED1E83">
        <w:t>e</w:t>
      </w:r>
      <w:r w:rsidR="006952BF" w:rsidRPr="007C3546">
        <w:t>, sex and height-adjusted blood pressure percentiles</w:t>
      </w:r>
      <w:r w:rsidR="006952BF" w:rsidRPr="006952BF">
        <w:t>.</w:t>
      </w:r>
    </w:p>
    <w:p w14:paraId="3F5B185F" w14:textId="02AF1FE4" w:rsidR="00064168" w:rsidRPr="006F5073" w:rsidRDefault="000307A7" w:rsidP="007956C1">
      <w:pPr>
        <w:pStyle w:val="ListBullet"/>
      </w:pPr>
      <w:r w:rsidRPr="000307A7">
        <w:t>The change is relevant to</w:t>
      </w:r>
      <w:r>
        <w:t xml:space="preserve"> </w:t>
      </w:r>
      <w:r w:rsidRPr="000307A7">
        <w:t>general practitioners</w:t>
      </w:r>
      <w:r>
        <w:t xml:space="preserve">, </w:t>
      </w:r>
      <w:r w:rsidRPr="000307A7">
        <w:t>specialists</w:t>
      </w:r>
      <w:r>
        <w:t xml:space="preserve">, </w:t>
      </w:r>
      <w:r w:rsidRPr="000307A7">
        <w:t>pathologists</w:t>
      </w:r>
      <w:r>
        <w:t xml:space="preserve">, </w:t>
      </w:r>
      <w:r w:rsidRPr="000307A7">
        <w:t>other providers of ambulatory blood pressure monitoring services</w:t>
      </w:r>
      <w:r>
        <w:t xml:space="preserve">, </w:t>
      </w:r>
      <w:r w:rsidRPr="000307A7">
        <w:t>billing and practice administration staf</w:t>
      </w:r>
      <w:r w:rsidR="007956C1">
        <w:t xml:space="preserve">f and </w:t>
      </w:r>
      <w:r w:rsidRPr="000307A7">
        <w:t>software vendors.</w:t>
      </w:r>
    </w:p>
    <w:p w14:paraId="5FA12278" w14:textId="77777777" w:rsidR="00904DB2" w:rsidRPr="00867595" w:rsidRDefault="00904DB2" w:rsidP="00904DB2">
      <w:pPr>
        <w:pStyle w:val="ListBullet"/>
        <w:numPr>
          <w:ilvl w:val="0"/>
          <w:numId w:val="0"/>
        </w:numPr>
      </w:pPr>
    </w:p>
    <w:p w14:paraId="44460BF5" w14:textId="29A2ED51" w:rsidR="00064168" w:rsidRPr="00867595" w:rsidRDefault="00064168" w:rsidP="00064168">
      <w:pPr>
        <w:pStyle w:val="Heading2"/>
      </w:pPr>
      <w:r w:rsidRPr="00867595">
        <w:t>What are the changes?</w:t>
      </w:r>
    </w:p>
    <w:p w14:paraId="62CEF75D" w14:textId="77777777" w:rsidR="00124D65" w:rsidRPr="00124D65" w:rsidRDefault="00124D65" w:rsidP="00124D65">
      <w:pPr>
        <w:rPr>
          <w:szCs w:val="22"/>
        </w:rPr>
      </w:pPr>
      <w:r w:rsidRPr="00124D65">
        <w:rPr>
          <w:szCs w:val="22"/>
        </w:rPr>
        <w:t>MBS item 11607 provides a Medicare benefit for continuous ambulatory blood pressure recording for 24 hours or more where the requirements of the item are met.</w:t>
      </w:r>
    </w:p>
    <w:p w14:paraId="38F48DC4" w14:textId="77777777" w:rsidR="00124D65" w:rsidRPr="00124D65" w:rsidRDefault="00124D65" w:rsidP="00124D65">
      <w:pPr>
        <w:rPr>
          <w:szCs w:val="22"/>
        </w:rPr>
      </w:pPr>
      <w:r w:rsidRPr="00124D65">
        <w:rPr>
          <w:szCs w:val="22"/>
        </w:rPr>
        <w:t xml:space="preserve">From </w:t>
      </w:r>
      <w:r w:rsidRPr="00E13238">
        <w:rPr>
          <w:szCs w:val="22"/>
        </w:rPr>
        <w:t>1 November 2026</w:t>
      </w:r>
      <w:r w:rsidRPr="00124D65">
        <w:rPr>
          <w:szCs w:val="22"/>
        </w:rPr>
        <w:t>, the item will also be available for a patient aged 5 years or more and under 18 years where the patient has measurements, on consecutive clinic visits, of systolic blood pressure or diastolic blood pressure between the 95th percentile and the 95th percentile plus 30 mmHg, based on limits appropriate to the patient’s age, sex and height.</w:t>
      </w:r>
    </w:p>
    <w:p w14:paraId="18EF7006" w14:textId="77777777" w:rsidR="00124D65" w:rsidRPr="00124D65" w:rsidRDefault="00124D65" w:rsidP="00124D65">
      <w:pPr>
        <w:rPr>
          <w:szCs w:val="22"/>
        </w:rPr>
      </w:pPr>
      <w:r w:rsidRPr="00124D65">
        <w:rPr>
          <w:szCs w:val="22"/>
        </w:rPr>
        <w:t>All other requirements of item 11607 continue to apply. These include requirements that:</w:t>
      </w:r>
    </w:p>
    <w:p w14:paraId="34A94529" w14:textId="77777777" w:rsidR="00124D65" w:rsidRPr="00124D65" w:rsidRDefault="00124D65" w:rsidP="00124D65">
      <w:pPr>
        <w:pStyle w:val="ListBullet"/>
      </w:pPr>
      <w:r w:rsidRPr="00124D65">
        <w:t>the patient has not commenced antihypertensive therapy</w:t>
      </w:r>
    </w:p>
    <w:p w14:paraId="5CCF0B76" w14:textId="77777777" w:rsidR="00124D65" w:rsidRPr="00124D65" w:rsidRDefault="00124D65" w:rsidP="00124D65">
      <w:pPr>
        <w:pStyle w:val="ListBullet"/>
      </w:pPr>
      <w:r w:rsidRPr="00124D65">
        <w:t>the recording includes the patient’s resting blood pressure</w:t>
      </w:r>
    </w:p>
    <w:p w14:paraId="0DF79858" w14:textId="77777777" w:rsidR="00124D65" w:rsidRPr="00124D65" w:rsidRDefault="00124D65" w:rsidP="00124D65">
      <w:pPr>
        <w:pStyle w:val="ListBullet"/>
      </w:pPr>
      <w:r w:rsidRPr="00124D65">
        <w:t>the recording is conducted using microprocessor-based analysis equipment</w:t>
      </w:r>
    </w:p>
    <w:p w14:paraId="6E9C1FB6" w14:textId="77777777" w:rsidR="00124D65" w:rsidRPr="00124D65" w:rsidRDefault="00124D65" w:rsidP="00124D65">
      <w:pPr>
        <w:pStyle w:val="ListBullet"/>
      </w:pPr>
      <w:r w:rsidRPr="00124D65">
        <w:t>a medical practitioner interprets the recording and prepares a report</w:t>
      </w:r>
    </w:p>
    <w:p w14:paraId="76798EB6" w14:textId="77777777" w:rsidR="00124D65" w:rsidRPr="00124D65" w:rsidRDefault="00124D65" w:rsidP="00124D65">
      <w:pPr>
        <w:pStyle w:val="ListBullet"/>
      </w:pPr>
      <w:r w:rsidRPr="00124D65">
        <w:t>a treatment plan is provided to the patient</w:t>
      </w:r>
    </w:p>
    <w:p w14:paraId="3064D73A" w14:textId="77777777" w:rsidR="00124D65" w:rsidRPr="00124D65" w:rsidRDefault="00124D65" w:rsidP="00124D65">
      <w:pPr>
        <w:pStyle w:val="ListBullet"/>
      </w:pPr>
      <w:r w:rsidRPr="00124D65">
        <w:t>the service is not provided in association with ambulatory electrocardiogram recording</w:t>
      </w:r>
    </w:p>
    <w:p w14:paraId="27A19055" w14:textId="77777777" w:rsidR="00124D65" w:rsidRPr="00124D65" w:rsidRDefault="00124D65" w:rsidP="00124D65">
      <w:pPr>
        <w:pStyle w:val="ListBullet"/>
      </w:pPr>
      <w:r w:rsidRPr="00124D65">
        <w:t>the service is not associated with the other MBS services specified in the item descriptor</w:t>
      </w:r>
    </w:p>
    <w:p w14:paraId="7C2AD28F" w14:textId="77777777" w:rsidR="00124D65" w:rsidRPr="004437A6" w:rsidRDefault="00124D65" w:rsidP="00124D65">
      <w:pPr>
        <w:pStyle w:val="ListBullet"/>
      </w:pPr>
      <w:r w:rsidRPr="00124D65">
        <w:t xml:space="preserve">the item is claimed no more than once in any </w:t>
      </w:r>
      <w:r w:rsidRPr="004437A6">
        <w:t>12-month period.</w:t>
      </w:r>
    </w:p>
    <w:p w14:paraId="1F89F3ED" w14:textId="77777777" w:rsidR="00124D65" w:rsidRPr="004437A6" w:rsidRDefault="00124D65" w:rsidP="00260A54">
      <w:pPr>
        <w:pStyle w:val="ListBullet"/>
        <w:numPr>
          <w:ilvl w:val="0"/>
          <w:numId w:val="0"/>
        </w:numPr>
        <w:ind w:left="360"/>
      </w:pPr>
    </w:p>
    <w:p w14:paraId="14CB6C78" w14:textId="5BF429AA" w:rsidR="007E0068" w:rsidRPr="004437A6" w:rsidRDefault="007E0068" w:rsidP="007E0068">
      <w:r w:rsidRPr="004437A6">
        <w:t xml:space="preserve">For private health insurance purposes, item </w:t>
      </w:r>
      <w:r w:rsidR="002B1B52" w:rsidRPr="004437A6">
        <w:rPr>
          <w:szCs w:val="22"/>
        </w:rPr>
        <w:t>11607</w:t>
      </w:r>
      <w:r w:rsidRPr="004437A6">
        <w:t xml:space="preserve"> will be listed under the following clinical category and procedure type:</w:t>
      </w:r>
    </w:p>
    <w:p w14:paraId="00DAF94B" w14:textId="409D3187" w:rsidR="00385C01" w:rsidRPr="004437A6" w:rsidRDefault="00385C01" w:rsidP="00385C01">
      <w:pPr>
        <w:pStyle w:val="ListBullet"/>
      </w:pPr>
      <w:r w:rsidRPr="004437A6">
        <w:t>Private Health Insurance Classification:</w:t>
      </w:r>
      <w:r w:rsidR="001F1576" w:rsidRPr="004437A6">
        <w:t xml:space="preserve"> </w:t>
      </w:r>
    </w:p>
    <w:p w14:paraId="5B0D04C5" w14:textId="227B5CBC" w:rsidR="007E0068" w:rsidRPr="004437A6" w:rsidRDefault="007E0068" w:rsidP="006F5073">
      <w:pPr>
        <w:pStyle w:val="ListBullet"/>
      </w:pPr>
      <w:r w:rsidRPr="004437A6">
        <w:t xml:space="preserve">Clinical category: </w:t>
      </w:r>
      <w:r w:rsidR="001F1576" w:rsidRPr="004437A6">
        <w:t>Heart and vascular system</w:t>
      </w:r>
      <w:r w:rsidR="001F1576" w:rsidRPr="004437A6" w:rsidDel="001F1576">
        <w:t xml:space="preserve"> </w:t>
      </w:r>
    </w:p>
    <w:p w14:paraId="0F393FB5" w14:textId="71A15F1A" w:rsidR="007E0068" w:rsidRPr="004437A6" w:rsidRDefault="007E0068" w:rsidP="006F5073">
      <w:pPr>
        <w:pStyle w:val="ListBullet"/>
      </w:pPr>
      <w:r w:rsidRPr="004437A6">
        <w:t xml:space="preserve">Procedure type: Type </w:t>
      </w:r>
      <w:r w:rsidR="001F1576" w:rsidRPr="004437A6">
        <w:t>C</w:t>
      </w:r>
    </w:p>
    <w:p w14:paraId="47235E49" w14:textId="77777777" w:rsidR="002B1B52" w:rsidRPr="004437A6" w:rsidRDefault="002B1B52" w:rsidP="002B1B52">
      <w:pPr>
        <w:pStyle w:val="ListBullet"/>
        <w:numPr>
          <w:ilvl w:val="0"/>
          <w:numId w:val="0"/>
        </w:numPr>
        <w:ind w:left="360"/>
      </w:pPr>
    </w:p>
    <w:p w14:paraId="42BD5171" w14:textId="77777777" w:rsidR="00064168" w:rsidRPr="004437A6" w:rsidRDefault="00064168" w:rsidP="00064168">
      <w:pPr>
        <w:pStyle w:val="Heading2"/>
      </w:pPr>
      <w:r w:rsidRPr="004437A6">
        <w:t>Why are the changes being made?</w:t>
      </w:r>
    </w:p>
    <w:p w14:paraId="398E2D28" w14:textId="77777777" w:rsidR="00F9724A" w:rsidRPr="004437A6" w:rsidRDefault="00F9724A" w:rsidP="00F9724A">
      <w:pPr>
        <w:rPr>
          <w:szCs w:val="22"/>
        </w:rPr>
      </w:pPr>
      <w:r w:rsidRPr="004437A6">
        <w:rPr>
          <w:szCs w:val="22"/>
        </w:rPr>
        <w:t>The current item uses clinic blood pressure thresholds that are appropriate for adults but are above paediatric diagnostic ranges. This limits access to MBS-funded ambulatory blood pressure monitoring for patients under 18 years.</w:t>
      </w:r>
    </w:p>
    <w:p w14:paraId="1E6722D6" w14:textId="77777777" w:rsidR="00F9724A" w:rsidRPr="004437A6" w:rsidRDefault="00F9724A" w:rsidP="00F9724A">
      <w:pPr>
        <w:rPr>
          <w:szCs w:val="22"/>
        </w:rPr>
      </w:pPr>
      <w:r w:rsidRPr="004437A6">
        <w:rPr>
          <w:szCs w:val="22"/>
        </w:rPr>
        <w:t>The amendment introduces age-appropriate blood pressure criteria for children and adolescents. This will provide more equitable access to ambulatory blood pressure monitoring for the diagnosis of suspected hypertension.</w:t>
      </w:r>
    </w:p>
    <w:p w14:paraId="4B2559AC" w14:textId="31FDFF80" w:rsidR="00064168" w:rsidRPr="004437A6" w:rsidRDefault="00064168" w:rsidP="00064168">
      <w:pPr>
        <w:pStyle w:val="Heading2"/>
      </w:pPr>
      <w:r w:rsidRPr="004437A6">
        <w:t>What does this mean for providers?</w:t>
      </w:r>
    </w:p>
    <w:p w14:paraId="057D1B93" w14:textId="77777777" w:rsidR="00710CBC" w:rsidRPr="004437A6" w:rsidRDefault="00710CBC" w:rsidP="00710CBC">
      <w:pPr>
        <w:rPr>
          <w:szCs w:val="22"/>
        </w:rPr>
      </w:pPr>
      <w:r w:rsidRPr="004437A6">
        <w:rPr>
          <w:szCs w:val="22"/>
        </w:rPr>
        <w:t>From 1 November 2026, providers may use item 11607 for eligible patients aged 5 years or more and under 18 years where the new paediatric blood pressure criteria and all other requirements of the item are met.</w:t>
      </w:r>
    </w:p>
    <w:p w14:paraId="2B977E7E" w14:textId="77777777" w:rsidR="00710CBC" w:rsidRPr="00710CBC" w:rsidRDefault="00710CBC" w:rsidP="00710CBC">
      <w:pPr>
        <w:rPr>
          <w:szCs w:val="22"/>
        </w:rPr>
      </w:pPr>
      <w:r w:rsidRPr="004437A6">
        <w:rPr>
          <w:szCs w:val="22"/>
        </w:rPr>
        <w:t>For</w:t>
      </w:r>
      <w:r w:rsidRPr="00710CBC">
        <w:rPr>
          <w:szCs w:val="22"/>
        </w:rPr>
        <w:t xml:space="preserve"> a patient in this age group, the relevant systolic or diastolic blood pressure measurements must be recorded on consecutive clinic visits. Providers must use blood pressure limits appropriate to the patient’s age, sex and height.</w:t>
      </w:r>
    </w:p>
    <w:p w14:paraId="6DDC6211" w14:textId="77777777" w:rsidR="00710CBC" w:rsidRPr="00710CBC" w:rsidRDefault="00710CBC" w:rsidP="00710CBC">
      <w:pPr>
        <w:rPr>
          <w:szCs w:val="22"/>
        </w:rPr>
      </w:pPr>
      <w:r w:rsidRPr="00710CBC">
        <w:rPr>
          <w:szCs w:val="22"/>
        </w:rPr>
        <w:t>Providers should ensure that their clinical and administrative processes reflect the amended descriptor from the commencement date. Before claiming item 11607, providers must ensure that the patient meets all eligibility requirements and that all service, reporting and treatment planning requirements have been completed.</w:t>
      </w:r>
    </w:p>
    <w:p w14:paraId="3AAB0C27" w14:textId="77777777" w:rsidR="00710CBC" w:rsidRPr="00710CBC" w:rsidRDefault="00710CBC" w:rsidP="00710CBC">
      <w:pPr>
        <w:rPr>
          <w:szCs w:val="22"/>
        </w:rPr>
      </w:pPr>
      <w:r w:rsidRPr="00710CBC">
        <w:rPr>
          <w:szCs w:val="22"/>
        </w:rPr>
        <w:t>The service must include continuous ambulatory blood pressure recording for at least 24 hours. It includes fitting the device, analysing the data, preparing a report and developing a treatment plan.</w:t>
      </w:r>
    </w:p>
    <w:p w14:paraId="7F7DA4F7" w14:textId="77777777" w:rsidR="00064168" w:rsidRDefault="00064168" w:rsidP="00064168">
      <w:pPr>
        <w:pStyle w:val="Heading2"/>
      </w:pPr>
      <w:r>
        <w:t>How will these changes affect patients</w:t>
      </w:r>
      <w:r w:rsidRPr="001A7FB7">
        <w:t>?</w:t>
      </w:r>
    </w:p>
    <w:p w14:paraId="0BA21968" w14:textId="77777777" w:rsidR="004A58E5" w:rsidRPr="004A58E5" w:rsidRDefault="004A58E5" w:rsidP="004A58E5">
      <w:pPr>
        <w:rPr>
          <w:szCs w:val="22"/>
        </w:rPr>
      </w:pPr>
      <w:r w:rsidRPr="004A58E5">
        <w:rPr>
          <w:szCs w:val="22"/>
        </w:rPr>
        <w:t>From 1 November 2026, children and adolescents aged 5 years or more and under 18 years may be eligible for a Medicare benefit for ambulatory blood pressure monitoring where they meet the age-appropriate blood pressure criteria and the other requirements of item 11607.</w:t>
      </w:r>
    </w:p>
    <w:p w14:paraId="64B559AF" w14:textId="529EBE32" w:rsidR="004A58E5" w:rsidRPr="004A58E5" w:rsidRDefault="004A58E5" w:rsidP="004A58E5">
      <w:pPr>
        <w:rPr>
          <w:szCs w:val="22"/>
        </w:rPr>
      </w:pPr>
      <w:r w:rsidRPr="004A58E5">
        <w:rPr>
          <w:szCs w:val="22"/>
        </w:rPr>
        <w:t xml:space="preserve">Ambulatory blood pressure monitoring uses a wearable device to record a patient’s blood pressure over at least 24 hours. The results help the treating medical practitioner assess whether the patient has hypertension and prepare an appropriate treatment plan. </w:t>
      </w:r>
    </w:p>
    <w:p w14:paraId="1C3E838A" w14:textId="77777777" w:rsidR="004A58E5" w:rsidRPr="004A58E5" w:rsidRDefault="004A58E5" w:rsidP="004A58E5">
      <w:pPr>
        <w:rPr>
          <w:szCs w:val="22"/>
        </w:rPr>
      </w:pPr>
      <w:r w:rsidRPr="004A58E5">
        <w:rPr>
          <w:szCs w:val="22"/>
        </w:rPr>
        <w:t>The change will improve access to MBS-funded ambulatory blood pressure monitoring for eligible children and adolescents.</w:t>
      </w:r>
    </w:p>
    <w:p w14:paraId="5BD9BE80" w14:textId="77777777" w:rsidR="00064168" w:rsidRDefault="00064168" w:rsidP="00064168">
      <w:pPr>
        <w:pStyle w:val="Heading2"/>
      </w:pPr>
      <w:r w:rsidRPr="001A7FB7">
        <w:t>Who was consulted on the changes?</w:t>
      </w:r>
    </w:p>
    <w:p w14:paraId="3ECE183D" w14:textId="11401D75" w:rsidR="0044019D" w:rsidRPr="0044019D" w:rsidRDefault="0044019D" w:rsidP="0044019D">
      <w:pPr>
        <w:rPr>
          <w:szCs w:val="22"/>
        </w:rPr>
      </w:pPr>
      <w:r w:rsidRPr="0044019D">
        <w:rPr>
          <w:szCs w:val="22"/>
        </w:rPr>
        <w:t>The Department of Health, Disability and Ageing</w:t>
      </w:r>
      <w:r w:rsidR="00850A9F">
        <w:rPr>
          <w:szCs w:val="22"/>
        </w:rPr>
        <w:t xml:space="preserve"> (the department)</w:t>
      </w:r>
      <w:r w:rsidRPr="0044019D">
        <w:rPr>
          <w:szCs w:val="22"/>
        </w:rPr>
        <w:t xml:space="preserve"> consulted:</w:t>
      </w:r>
    </w:p>
    <w:p w14:paraId="03849F86" w14:textId="77777777" w:rsidR="0044019D" w:rsidRPr="0044019D" w:rsidRDefault="0044019D" w:rsidP="0044019D">
      <w:pPr>
        <w:pStyle w:val="ListBullet"/>
      </w:pPr>
      <w:proofErr w:type="spellStart"/>
      <w:r w:rsidRPr="0044019D">
        <w:t>BPOzKids</w:t>
      </w:r>
      <w:proofErr w:type="spellEnd"/>
    </w:p>
    <w:p w14:paraId="11E89679" w14:textId="77777777" w:rsidR="0044019D" w:rsidRPr="0044019D" w:rsidRDefault="0044019D" w:rsidP="0044019D">
      <w:pPr>
        <w:pStyle w:val="ListBullet"/>
      </w:pPr>
      <w:r w:rsidRPr="0044019D">
        <w:t>Hypertension Australia</w:t>
      </w:r>
    </w:p>
    <w:p w14:paraId="22E15BAD" w14:textId="77777777" w:rsidR="0044019D" w:rsidRPr="0044019D" w:rsidRDefault="0044019D" w:rsidP="0044019D">
      <w:pPr>
        <w:pStyle w:val="ListBullet"/>
      </w:pPr>
      <w:r w:rsidRPr="0044019D">
        <w:lastRenderedPageBreak/>
        <w:t>the Australia and New Zealand Society of Paediatric Nephrology.</w:t>
      </w:r>
    </w:p>
    <w:p w14:paraId="3A86CCC5" w14:textId="77777777" w:rsidR="0044019D" w:rsidRPr="0044019D" w:rsidRDefault="0044019D" w:rsidP="0044019D">
      <w:pPr>
        <w:rPr>
          <w:szCs w:val="22"/>
        </w:rPr>
      </w:pPr>
      <w:r w:rsidRPr="0044019D">
        <w:rPr>
          <w:szCs w:val="22"/>
        </w:rPr>
        <w:t>These organisations were consulted on the policy intent and proposed item wording and supported the change.</w:t>
      </w:r>
    </w:p>
    <w:p w14:paraId="32E82B19" w14:textId="77777777" w:rsidR="00064168" w:rsidRDefault="00064168" w:rsidP="00064168">
      <w:pPr>
        <w:pStyle w:val="Heading2"/>
      </w:pPr>
      <w:r w:rsidRPr="001A7FB7">
        <w:t>How will the changes be monitored</w:t>
      </w:r>
      <w:r>
        <w:t xml:space="preserve"> and reviewed</w:t>
      </w:r>
      <w:r w:rsidRPr="001A7FB7">
        <w:t>?</w:t>
      </w:r>
    </w:p>
    <w:p w14:paraId="41BBDDBB" w14:textId="1B3B5FB4" w:rsidR="00BE42C7" w:rsidRPr="00B27A99" w:rsidRDefault="00D20254" w:rsidP="00B27A99">
      <w:pPr>
        <w:rPr>
          <w:szCs w:val="22"/>
        </w:rPr>
      </w:pPr>
      <w:r w:rsidRPr="00D20254">
        <w:rPr>
          <w:szCs w:val="22"/>
        </w:rPr>
        <w:t>Providers are responsible for ensuring Medicare services claimed using their provider number meet all legislative requirements</w:t>
      </w:r>
      <w:r w:rsidR="00CD21E2">
        <w:rPr>
          <w:szCs w:val="22"/>
        </w:rPr>
        <w:t xml:space="preserve">. </w:t>
      </w:r>
      <w:r w:rsidRPr="00D20254">
        <w:rPr>
          <w:szCs w:val="22"/>
        </w:rPr>
        <w:t xml:space="preserve">All Medicare claiming is subject to compliance checks and providers may be required to submit evidence about the services they bill. More information about the </w:t>
      </w:r>
      <w:r w:rsidR="001427CD">
        <w:rPr>
          <w:szCs w:val="22"/>
        </w:rPr>
        <w:t>d</w:t>
      </w:r>
      <w:r w:rsidRPr="00D20254">
        <w:rPr>
          <w:szCs w:val="22"/>
        </w:rPr>
        <w:t>epartment</w:t>
      </w:r>
      <w:r w:rsidR="00F76ED3">
        <w:rPr>
          <w:szCs w:val="22"/>
        </w:rPr>
        <w:t>’s</w:t>
      </w:r>
      <w:r w:rsidRPr="00D20254">
        <w:rPr>
          <w:szCs w:val="22"/>
        </w:rPr>
        <w:t xml:space="preserve"> compliance program can be found on its website at </w:t>
      </w:r>
      <w:hyperlink r:id="rId8" w:tgtFrame="_blank" w:tooltip="https://www.health.gov.au/topics/medicare/compliance" w:history="1">
        <w:r w:rsidR="001F76C6" w:rsidRPr="001F76C6">
          <w:rPr>
            <w:rStyle w:val="Hyperlink"/>
            <w:szCs w:val="22"/>
          </w:rPr>
          <w:t>Medicare compliance</w:t>
        </w:r>
      </w:hyperlink>
      <w:r w:rsidR="001F76C6" w:rsidRPr="001F76C6">
        <w:rPr>
          <w:szCs w:val="22"/>
        </w:rPr>
        <w:t>.</w:t>
      </w:r>
    </w:p>
    <w:p w14:paraId="3C63E237" w14:textId="77777777" w:rsidR="00064168" w:rsidRDefault="00064168" w:rsidP="00064168">
      <w:pPr>
        <w:pStyle w:val="Heading2"/>
      </w:pPr>
      <w:r>
        <w:t>Where can I find more information?</w:t>
      </w:r>
    </w:p>
    <w:p w14:paraId="5EEA2BAC" w14:textId="7C976B03" w:rsidR="00064168" w:rsidRPr="00867595" w:rsidRDefault="00064168" w:rsidP="00064168">
      <w:pPr>
        <w:rPr>
          <w:szCs w:val="22"/>
        </w:rPr>
      </w:pPr>
      <w:r w:rsidRPr="00867595">
        <w:rPr>
          <w:szCs w:val="22"/>
        </w:rPr>
        <w:t xml:space="preserve">The full item descriptor(s) and information on other changes to the MBS can be found on the </w:t>
      </w:r>
      <w:hyperlink r:id="rId9" w:history="1">
        <w:r w:rsidRPr="0019761F">
          <w:rPr>
            <w:rStyle w:val="Hyperlink"/>
            <w:szCs w:val="22"/>
          </w:rPr>
          <w:t>MBS Online website</w:t>
        </w:r>
      </w:hyperlink>
      <w:r w:rsidRPr="00867595">
        <w:rPr>
          <w:rStyle w:val="Hyperlink"/>
          <w:szCs w:val="22"/>
        </w:rPr>
        <w:t>.</w:t>
      </w:r>
      <w:r w:rsidRPr="00867595">
        <w:rPr>
          <w:szCs w:val="22"/>
        </w:rPr>
        <w:t xml:space="preserve"> You can also subscribe to future MBS updates by visiting </w:t>
      </w:r>
      <w:r w:rsidR="00056A81">
        <w:rPr>
          <w:szCs w:val="22"/>
        </w:rPr>
        <w:t>‘</w:t>
      </w:r>
      <w:hyperlink r:id="rId10" w:history="1">
        <w:r w:rsidR="00056A81">
          <w:rPr>
            <w:rStyle w:val="Hyperlink"/>
            <w:szCs w:val="22"/>
          </w:rPr>
          <w:t>Subscribe to the MBS</w:t>
        </w:r>
      </w:hyperlink>
      <w:r w:rsidR="00056A81">
        <w:rPr>
          <w:szCs w:val="22"/>
        </w:rPr>
        <w:t>’</w:t>
      </w:r>
      <w:r w:rsidR="00525479">
        <w:rPr>
          <w:szCs w:val="22"/>
        </w:rPr>
        <w:t xml:space="preserve"> </w:t>
      </w:r>
      <w:r w:rsidR="00056A81">
        <w:rPr>
          <w:szCs w:val="22"/>
        </w:rPr>
        <w:t>on the MBS Online website</w:t>
      </w:r>
      <w:r w:rsidRPr="00867595">
        <w:rPr>
          <w:szCs w:val="22"/>
        </w:rPr>
        <w:t xml:space="preserve">. </w:t>
      </w:r>
    </w:p>
    <w:p w14:paraId="19B67CD4" w14:textId="2468B1DB" w:rsidR="001873B1" w:rsidRPr="000B7029" w:rsidRDefault="001873B1" w:rsidP="00064168">
      <w:pPr>
        <w:rPr>
          <w:szCs w:val="22"/>
        </w:rPr>
      </w:pPr>
      <w:r w:rsidRPr="001873B1">
        <w:rPr>
          <w:szCs w:val="22"/>
        </w:rPr>
        <w:t xml:space="preserve">Providers seeking advice on interpretation of MBS items, explanatory notes and associated legislation can use the department’s email advice service by emailing </w:t>
      </w:r>
      <w:hyperlink r:id="rId11" w:history="1">
        <w:r w:rsidRPr="001873B1">
          <w:rPr>
            <w:rStyle w:val="Hyperlink"/>
            <w:szCs w:val="22"/>
          </w:rPr>
          <w:t>askMBS@health.gov.au</w:t>
        </w:r>
      </w:hyperlink>
      <w:r w:rsidRPr="001873B1">
        <w:rPr>
          <w:szCs w:val="22"/>
        </w:rPr>
        <w:t>.</w:t>
      </w:r>
    </w:p>
    <w:p w14:paraId="1D6CA1FB" w14:textId="20A13AC9" w:rsidR="001245EF" w:rsidRDefault="001245EF" w:rsidP="001245EF">
      <w:pPr>
        <w:rPr>
          <w:color w:val="auto"/>
          <w:sz w:val="20"/>
          <w:szCs w:val="21"/>
        </w:rPr>
      </w:pPr>
      <w:r>
        <w:t>Private health insurance information on the product tier arrangements is available at</w:t>
      </w:r>
      <w:r w:rsidR="00180395" w:rsidRPr="00180395">
        <w:t xml:space="preserve"> </w:t>
      </w:r>
      <w:hyperlink r:id="rId12" w:history="1">
        <w:r w:rsidR="00E22ABC" w:rsidRPr="008C5FE4">
          <w:rPr>
            <w:rStyle w:val="Hyperlink"/>
          </w:rPr>
          <w:t>www.privatehealth.gov.au</w:t>
        </w:r>
      </w:hyperlink>
      <w:r>
        <w:t xml:space="preserve">. Detailed information on the MBS item listing within clinical categories is available on the </w:t>
      </w:r>
      <w:hyperlink r:id="rId13" w:history="1">
        <w:r w:rsidR="001427CD">
          <w:rPr>
            <w:rStyle w:val="Hyperlink"/>
          </w:rPr>
          <w:t>d</w:t>
        </w:r>
        <w:r>
          <w:rPr>
            <w:rStyle w:val="Hyperlink"/>
          </w:rPr>
          <w:t>epartment’s website</w:t>
        </w:r>
      </w:hyperlink>
      <w:r>
        <w:t xml:space="preserve">. Private health insurance minimum accommodation benefits information, including MBS item accommodation classification, is available in the latest version of the </w:t>
      </w:r>
      <w:r w:rsidRPr="00B45350">
        <w:rPr>
          <w:i/>
        </w:rPr>
        <w:t>Private Health Insurance (Benefit Requirements) Rules</w:t>
      </w:r>
      <w:r w:rsidR="00BD50C6">
        <w:rPr>
          <w:i/>
        </w:rPr>
        <w:t> </w:t>
      </w:r>
      <w:r w:rsidRPr="00B45350">
        <w:rPr>
          <w:i/>
        </w:rPr>
        <w:t>2011</w:t>
      </w:r>
      <w:r w:rsidR="005E2D76">
        <w:rPr>
          <w:i/>
        </w:rPr>
        <w:t xml:space="preserve"> </w:t>
      </w:r>
      <w:r w:rsidR="005E2D76">
        <w:rPr>
          <w:iCs/>
        </w:rPr>
        <w:t xml:space="preserve">found on the </w:t>
      </w:r>
      <w:hyperlink r:id="rId14" w:history="1">
        <w:r w:rsidR="005E2D76" w:rsidRPr="005E2D76">
          <w:rPr>
            <w:rStyle w:val="Hyperlink"/>
            <w:iCs/>
          </w:rPr>
          <w:t>Federal Register of Legislation</w:t>
        </w:r>
      </w:hyperlink>
      <w:r>
        <w:t xml:space="preserve">. If you have a query in relation to private health </w:t>
      </w:r>
      <w:r w:rsidR="00BD0A9E">
        <w:t>insurance,</w:t>
      </w:r>
      <w:r>
        <w:t xml:space="preserve"> you should email </w:t>
      </w:r>
      <w:hyperlink r:id="rId15" w:history="1">
        <w:r>
          <w:rPr>
            <w:rStyle w:val="Hyperlink"/>
          </w:rPr>
          <w:t>PHI@health.gov.au</w:t>
        </w:r>
      </w:hyperlink>
      <w:r>
        <w:t>.</w:t>
      </w:r>
    </w:p>
    <w:p w14:paraId="359DC9B9" w14:textId="0B531C97" w:rsidR="00064168" w:rsidRPr="00867595" w:rsidRDefault="00064168" w:rsidP="00064168">
      <w:pPr>
        <w:rPr>
          <w:szCs w:val="22"/>
        </w:rPr>
      </w:pPr>
      <w:r w:rsidRPr="00867595">
        <w:rPr>
          <w:szCs w:val="22"/>
        </w:rPr>
        <w:t>Subscribe to ‘</w:t>
      </w:r>
      <w:hyperlink r:id="rId16" w:history="1">
        <w:r w:rsidRPr="00867595">
          <w:rPr>
            <w:rStyle w:val="Hyperlink"/>
            <w:szCs w:val="22"/>
          </w:rPr>
          <w:t>News for Health Professionals</w:t>
        </w:r>
      </w:hyperlink>
      <w:r w:rsidRPr="00867595">
        <w:rPr>
          <w:szCs w:val="22"/>
        </w:rPr>
        <w:t xml:space="preserve">’ on the Services Australia website </w:t>
      </w:r>
      <w:r w:rsidR="00E91576">
        <w:rPr>
          <w:szCs w:val="22"/>
        </w:rPr>
        <w:t>to</w:t>
      </w:r>
      <w:r w:rsidRPr="00867595">
        <w:rPr>
          <w:szCs w:val="22"/>
        </w:rPr>
        <w:t xml:space="preserve"> receive regular news highlights.</w:t>
      </w:r>
    </w:p>
    <w:p w14:paraId="01509414" w14:textId="40308C06" w:rsidR="00064168" w:rsidRDefault="00064168" w:rsidP="00064168">
      <w:pPr>
        <w:rPr>
          <w:szCs w:val="22"/>
        </w:rPr>
      </w:pPr>
      <w:r w:rsidRPr="00867595">
        <w:rPr>
          <w:szCs w:val="22"/>
        </w:rPr>
        <w:t xml:space="preserve">If you are seeking advice in relation to Medicare billing, claiming, payments, or obtaining a provider number, please </w:t>
      </w:r>
      <w:bookmarkStart w:id="1" w:name="_Hlk7773414"/>
      <w:r w:rsidRPr="00867595">
        <w:rPr>
          <w:szCs w:val="22"/>
        </w:rPr>
        <w:t xml:space="preserve">go to the Health Professionals page on the Services Australia website or </w:t>
      </w:r>
      <w:bookmarkEnd w:id="1"/>
      <w:r w:rsidRPr="00867595">
        <w:rPr>
          <w:szCs w:val="22"/>
        </w:rPr>
        <w:t xml:space="preserve">contact Services Australia on the Provider Enquiry Line – 13 21 50. </w:t>
      </w:r>
    </w:p>
    <w:p w14:paraId="0B4D7CE4" w14:textId="76AA08BF" w:rsidR="00064168" w:rsidRPr="00867595" w:rsidRDefault="00064168" w:rsidP="00064168">
      <w:pPr>
        <w:rPr>
          <w:szCs w:val="22"/>
        </w:rPr>
      </w:pPr>
      <w:r w:rsidRPr="00867595">
        <w:rPr>
          <w:szCs w:val="22"/>
        </w:rPr>
        <w:t xml:space="preserve">The data file for software vendors when available can be accessed via the </w:t>
      </w:r>
      <w:hyperlink r:id="rId17" w:history="1">
        <w:r w:rsidR="00C02732" w:rsidRPr="00C02732">
          <w:rPr>
            <w:rStyle w:val="Hyperlink"/>
            <w:szCs w:val="22"/>
          </w:rPr>
          <w:t>Downloads</w:t>
        </w:r>
      </w:hyperlink>
      <w:r w:rsidRPr="00867595">
        <w:rPr>
          <w:szCs w:val="22"/>
        </w:rPr>
        <w:t xml:space="preserve"> page.</w:t>
      </w:r>
    </w:p>
    <w:p w14:paraId="6D6EB19D" w14:textId="14901947" w:rsidR="00BE3ED5" w:rsidRDefault="00BE3ED5" w:rsidP="00BE3ED5">
      <w:pPr>
        <w:pStyle w:val="Heading2"/>
      </w:pPr>
      <w:r>
        <w:t xml:space="preserve">Amended item descriptor (to take effect </w:t>
      </w:r>
      <w:r w:rsidR="000607B2">
        <w:t>1 November 20</w:t>
      </w:r>
      <w:r w:rsidR="00FE00E0">
        <w:t>26</w:t>
      </w:r>
      <w:r>
        <w:t>)</w:t>
      </w:r>
    </w:p>
    <w:tbl>
      <w:tblPr>
        <w:tblStyle w:val="GridTable4-Accent2"/>
        <w:tblW w:w="0" w:type="auto"/>
        <w:tblLook w:val="04A0" w:firstRow="1" w:lastRow="0" w:firstColumn="1" w:lastColumn="0" w:noHBand="0" w:noVBand="1"/>
      </w:tblPr>
      <w:tblGrid>
        <w:gridCol w:w="9060"/>
      </w:tblGrid>
      <w:tr w:rsidR="00BE3ED5" w14:paraId="148B360C" w14:textId="77777777" w:rsidTr="001210F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60" w:type="dxa"/>
            <w:hideMark/>
          </w:tcPr>
          <w:p w14:paraId="4AA0C3FA" w14:textId="6E03DC65" w:rsidR="00BE3ED5" w:rsidRPr="00F17289" w:rsidRDefault="00F17289" w:rsidP="001210F8">
            <w:pPr>
              <w:rPr>
                <w:lang w:eastAsia="en-AU"/>
              </w:rPr>
            </w:pPr>
            <w:bookmarkStart w:id="2" w:name="_Hlk118987208"/>
            <w:r w:rsidRPr="00F17289">
              <w:rPr>
                <w:lang w:eastAsia="en-AU"/>
              </w:rPr>
              <w:t>Category 2 - DIAGNOSTIC PROCEDURES AND INVESTIGATIONS</w:t>
            </w:r>
          </w:p>
        </w:tc>
      </w:tr>
      <w:tr w:rsidR="00BE3ED5" w14:paraId="4C44E092" w14:textId="77777777" w:rsidTr="0012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hideMark/>
          </w:tcPr>
          <w:p w14:paraId="3BA5373D" w14:textId="657B391B" w:rsidR="00BE3ED5" w:rsidRDefault="008437CA" w:rsidP="001210F8">
            <w:pPr>
              <w:rPr>
                <w:b w:val="0"/>
                <w:bCs w:val="0"/>
                <w:lang w:eastAsia="en-AU"/>
              </w:rPr>
            </w:pPr>
            <w:r>
              <w:rPr>
                <w:lang w:eastAsia="en-AU"/>
              </w:rPr>
              <w:t>Group</w:t>
            </w:r>
            <w:r w:rsidR="00F17289">
              <w:rPr>
                <w:lang w:eastAsia="en-AU"/>
              </w:rPr>
              <w:t xml:space="preserve"> </w:t>
            </w:r>
            <w:r w:rsidR="00F17289" w:rsidRPr="00F17289">
              <w:rPr>
                <w:lang w:eastAsia="en-AU"/>
              </w:rPr>
              <w:t xml:space="preserve">D1 - Miscellaneous Diagnostic Procedures </w:t>
            </w:r>
            <w:proofErr w:type="gramStart"/>
            <w:r w:rsidR="00F17289" w:rsidRPr="00F17289">
              <w:rPr>
                <w:lang w:eastAsia="en-AU"/>
              </w:rPr>
              <w:t>And</w:t>
            </w:r>
            <w:proofErr w:type="gramEnd"/>
            <w:r w:rsidR="00F17289" w:rsidRPr="00F17289">
              <w:rPr>
                <w:lang w:eastAsia="en-AU"/>
              </w:rPr>
              <w:t xml:space="preserve"> Investigations</w:t>
            </w:r>
          </w:p>
        </w:tc>
      </w:tr>
      <w:tr w:rsidR="00642F20" w14:paraId="3DDFF680" w14:textId="77777777" w:rsidTr="001210F8">
        <w:tc>
          <w:tcPr>
            <w:cnfStyle w:val="001000000000" w:firstRow="0" w:lastRow="0" w:firstColumn="1" w:lastColumn="0" w:oddVBand="0" w:evenVBand="0" w:oddHBand="0" w:evenHBand="0" w:firstRowFirstColumn="0" w:firstRowLastColumn="0" w:lastRowFirstColumn="0" w:lastRowLastColumn="0"/>
            <w:tcW w:w="9060" w:type="dxa"/>
            <w:hideMark/>
          </w:tcPr>
          <w:p w14:paraId="7D263584" w14:textId="05771328" w:rsidR="00642F20" w:rsidRPr="00642F20" w:rsidRDefault="00642F20" w:rsidP="00642F20">
            <w:pPr>
              <w:pStyle w:val="Tabletextleft"/>
              <w:rPr>
                <w:b/>
              </w:rPr>
            </w:pPr>
            <w:r w:rsidRPr="00642F20">
              <w:rPr>
                <w:b/>
              </w:rPr>
              <w:t>Subgroup</w:t>
            </w:r>
            <w:r w:rsidR="006A578F">
              <w:rPr>
                <w:b/>
              </w:rPr>
              <w:t xml:space="preserve"> </w:t>
            </w:r>
            <w:r w:rsidR="006A578F" w:rsidRPr="006A578F">
              <w:rPr>
                <w:b/>
              </w:rPr>
              <w:t>5 - Vascular</w:t>
            </w:r>
          </w:p>
        </w:tc>
      </w:tr>
      <w:tr w:rsidR="00642F20" w14:paraId="25FF7AAD" w14:textId="77777777" w:rsidTr="0012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hideMark/>
          </w:tcPr>
          <w:p w14:paraId="6E6A1C67" w14:textId="77777777" w:rsidR="006A578F" w:rsidRPr="004437A6" w:rsidRDefault="006A578F" w:rsidP="00642F20">
            <w:r w:rsidRPr="004437A6">
              <w:rPr>
                <w:b w:val="0"/>
                <w:bCs w:val="0"/>
              </w:rPr>
              <w:lastRenderedPageBreak/>
              <w:t>11607</w:t>
            </w:r>
          </w:p>
          <w:p w14:paraId="4DFEE7D3" w14:textId="77777777" w:rsidR="007017C8" w:rsidRPr="004437A6" w:rsidRDefault="007017C8" w:rsidP="007017C8">
            <w:pPr>
              <w:rPr>
                <w:b w:val="0"/>
                <w:bCs w:val="0"/>
              </w:rPr>
            </w:pPr>
            <w:r w:rsidRPr="004437A6">
              <w:rPr>
                <w:b w:val="0"/>
                <w:bCs w:val="0"/>
              </w:rPr>
              <w:t>Continuous ambulatory blood pressure recording for 24 hours or more for a patient if:</w:t>
            </w:r>
          </w:p>
          <w:p w14:paraId="2CB6708B" w14:textId="77777777" w:rsidR="000607B2" w:rsidRPr="000F58FC" w:rsidRDefault="000607B2" w:rsidP="000607B2">
            <w:pPr>
              <w:rPr>
                <w:color w:val="CD0000"/>
              </w:rPr>
            </w:pPr>
            <w:r w:rsidRPr="000F58FC">
              <w:rPr>
                <w:color w:val="CD0000"/>
              </w:rPr>
              <w:t xml:space="preserve">(a) the patient has one or more of the following clinic blood pressure measurements (using a sphygmomanometer or a validated </w:t>
            </w:r>
            <w:proofErr w:type="spellStart"/>
            <w:r w:rsidRPr="000F58FC">
              <w:rPr>
                <w:color w:val="CD0000"/>
              </w:rPr>
              <w:t>oscillometric</w:t>
            </w:r>
            <w:proofErr w:type="spellEnd"/>
            <w:r w:rsidRPr="000F58FC">
              <w:rPr>
                <w:color w:val="CD0000"/>
              </w:rPr>
              <w:t xml:space="preserve"> blood pressure monitoring device):</w:t>
            </w:r>
          </w:p>
          <w:p w14:paraId="6E08521F" w14:textId="77777777" w:rsidR="000607B2" w:rsidRPr="000F58FC" w:rsidRDefault="000607B2" w:rsidP="000607B2">
            <w:pPr>
              <w:rPr>
                <w:color w:val="CD0000"/>
              </w:rPr>
            </w:pPr>
            <w:r w:rsidRPr="000F58FC">
              <w:rPr>
                <w:color w:val="CD0000"/>
              </w:rPr>
              <w:t>(</w:t>
            </w:r>
            <w:proofErr w:type="spellStart"/>
            <w:r w:rsidRPr="000F58FC">
              <w:rPr>
                <w:color w:val="CD0000"/>
              </w:rPr>
              <w:t>i</w:t>
            </w:r>
            <w:proofErr w:type="spellEnd"/>
            <w:r w:rsidRPr="000F58FC">
              <w:rPr>
                <w:color w:val="CD0000"/>
              </w:rPr>
              <w:t>) a measurement of systolic blood pressure greater than or equal to 140 mmHg and less than or equal to 180 mmHg;</w:t>
            </w:r>
          </w:p>
          <w:p w14:paraId="50434FFE" w14:textId="77777777" w:rsidR="000607B2" w:rsidRPr="000F58FC" w:rsidRDefault="000607B2" w:rsidP="000607B2">
            <w:pPr>
              <w:rPr>
                <w:color w:val="CD0000"/>
              </w:rPr>
            </w:pPr>
            <w:r w:rsidRPr="000F58FC">
              <w:rPr>
                <w:color w:val="CD0000"/>
              </w:rPr>
              <w:t>(ii) a measurement of diastolic blood pressure greater than or equal to 90 mmHg and less than or equal to 110 mmHg;</w:t>
            </w:r>
          </w:p>
          <w:p w14:paraId="4160B04B" w14:textId="47E2193E" w:rsidR="000607B2" w:rsidRPr="000F58FC" w:rsidRDefault="000607B2" w:rsidP="000607B2">
            <w:pPr>
              <w:rPr>
                <w:color w:val="CD0000"/>
              </w:rPr>
            </w:pPr>
            <w:r w:rsidRPr="000F58FC">
              <w:rPr>
                <w:color w:val="CD0000"/>
              </w:rPr>
              <w:t xml:space="preserve">(iii) if the patient is aged 5 years or more and under 18 years—measurements, on consecutive clinic visits, of systolic blood pressure or diastolic blood pressure between the 95th percentile and 95th percentile </w:t>
            </w:r>
            <w:r w:rsidRPr="000F58FC">
              <w:rPr>
                <w:color w:val="CD0000"/>
              </w:rPr>
              <w:noBreakHyphen/>
              <w:t xml:space="preserve"> 30 mmHg based on limits appropriate to the patient’s age, sex and height; and</w:t>
            </w:r>
          </w:p>
          <w:p w14:paraId="0DEDA78D" w14:textId="77777777" w:rsidR="007017C8" w:rsidRPr="004437A6" w:rsidRDefault="007017C8" w:rsidP="007017C8">
            <w:pPr>
              <w:rPr>
                <w:b w:val="0"/>
                <w:bCs w:val="0"/>
              </w:rPr>
            </w:pPr>
            <w:r w:rsidRPr="004437A6">
              <w:rPr>
                <w:b w:val="0"/>
                <w:bCs w:val="0"/>
              </w:rPr>
              <w:t>(b) the patient has not commenced anti</w:t>
            </w:r>
            <w:r w:rsidRPr="004437A6">
              <w:rPr>
                <w:b w:val="0"/>
                <w:bCs w:val="0"/>
              </w:rPr>
              <w:noBreakHyphen/>
              <w:t>hypertensive therapy; and</w:t>
            </w:r>
          </w:p>
          <w:p w14:paraId="7141974C" w14:textId="77777777" w:rsidR="007017C8" w:rsidRPr="004437A6" w:rsidRDefault="007017C8" w:rsidP="007017C8">
            <w:pPr>
              <w:rPr>
                <w:b w:val="0"/>
                <w:bCs w:val="0"/>
              </w:rPr>
            </w:pPr>
            <w:r w:rsidRPr="004437A6">
              <w:rPr>
                <w:b w:val="0"/>
                <w:bCs w:val="0"/>
              </w:rPr>
              <w:t>(c) the recording includes the patient’s resting blood pressure; and</w:t>
            </w:r>
          </w:p>
          <w:p w14:paraId="7C563EF5" w14:textId="77777777" w:rsidR="007017C8" w:rsidRPr="004437A6" w:rsidRDefault="007017C8" w:rsidP="007017C8">
            <w:pPr>
              <w:rPr>
                <w:b w:val="0"/>
                <w:bCs w:val="0"/>
              </w:rPr>
            </w:pPr>
            <w:r w:rsidRPr="004437A6">
              <w:rPr>
                <w:b w:val="0"/>
                <w:bCs w:val="0"/>
              </w:rPr>
              <w:t>(d) the recording is conducted using microprocessor</w:t>
            </w:r>
            <w:r w:rsidRPr="004437A6">
              <w:rPr>
                <w:b w:val="0"/>
                <w:bCs w:val="0"/>
              </w:rPr>
              <w:noBreakHyphen/>
              <w:t>based analysis equipment; and</w:t>
            </w:r>
          </w:p>
          <w:p w14:paraId="13BA430E" w14:textId="77777777" w:rsidR="007017C8" w:rsidRPr="004437A6" w:rsidRDefault="007017C8" w:rsidP="007017C8">
            <w:pPr>
              <w:rPr>
                <w:b w:val="0"/>
                <w:bCs w:val="0"/>
              </w:rPr>
            </w:pPr>
            <w:r w:rsidRPr="004437A6">
              <w:rPr>
                <w:b w:val="0"/>
                <w:bCs w:val="0"/>
              </w:rPr>
              <w:t xml:space="preserve">(e) the recording is interpreted by a medical </w:t>
            </w:r>
            <w:proofErr w:type="gramStart"/>
            <w:r w:rsidRPr="004437A6">
              <w:rPr>
                <w:b w:val="0"/>
                <w:bCs w:val="0"/>
              </w:rPr>
              <w:t>practitioner</w:t>
            </w:r>
            <w:proofErr w:type="gramEnd"/>
            <w:r w:rsidRPr="004437A6">
              <w:rPr>
                <w:b w:val="0"/>
                <w:bCs w:val="0"/>
              </w:rPr>
              <w:t xml:space="preserve"> and a report is prepared by the same medical practitioner; and</w:t>
            </w:r>
          </w:p>
          <w:p w14:paraId="6BAB21E9" w14:textId="77777777" w:rsidR="007017C8" w:rsidRPr="004437A6" w:rsidRDefault="007017C8" w:rsidP="007017C8">
            <w:pPr>
              <w:rPr>
                <w:b w:val="0"/>
                <w:bCs w:val="0"/>
              </w:rPr>
            </w:pPr>
            <w:r w:rsidRPr="004437A6">
              <w:rPr>
                <w:b w:val="0"/>
                <w:bCs w:val="0"/>
              </w:rPr>
              <w:t>(f) a treatment plan is provided for the patient; and</w:t>
            </w:r>
          </w:p>
          <w:p w14:paraId="1F40DFD5" w14:textId="77777777" w:rsidR="007017C8" w:rsidRPr="004437A6" w:rsidRDefault="007017C8" w:rsidP="007017C8">
            <w:pPr>
              <w:rPr>
                <w:b w:val="0"/>
                <w:bCs w:val="0"/>
              </w:rPr>
            </w:pPr>
            <w:r w:rsidRPr="004437A6">
              <w:rPr>
                <w:b w:val="0"/>
                <w:bCs w:val="0"/>
              </w:rPr>
              <w:t>(g) the service:</w:t>
            </w:r>
          </w:p>
          <w:p w14:paraId="16D7AF58" w14:textId="77777777" w:rsidR="007017C8" w:rsidRPr="004437A6" w:rsidRDefault="007017C8" w:rsidP="007017C8">
            <w:pPr>
              <w:rPr>
                <w:b w:val="0"/>
                <w:bCs w:val="0"/>
              </w:rPr>
            </w:pPr>
            <w:r w:rsidRPr="004437A6">
              <w:rPr>
                <w:b w:val="0"/>
                <w:bCs w:val="0"/>
              </w:rPr>
              <w:t>(</w:t>
            </w:r>
            <w:proofErr w:type="spellStart"/>
            <w:r w:rsidRPr="004437A6">
              <w:rPr>
                <w:b w:val="0"/>
                <w:bCs w:val="0"/>
              </w:rPr>
              <w:t>i</w:t>
            </w:r>
            <w:proofErr w:type="spellEnd"/>
            <w:r w:rsidRPr="004437A6">
              <w:rPr>
                <w:b w:val="0"/>
                <w:bCs w:val="0"/>
              </w:rPr>
              <w:t>) is not provided in association with ambulatory electrocardiogram recording, and</w:t>
            </w:r>
          </w:p>
          <w:p w14:paraId="6B6E88F3" w14:textId="77777777" w:rsidR="007017C8" w:rsidRPr="004437A6" w:rsidRDefault="007017C8" w:rsidP="007017C8">
            <w:pPr>
              <w:rPr>
                <w:b w:val="0"/>
                <w:bCs w:val="0"/>
              </w:rPr>
            </w:pPr>
            <w:r w:rsidRPr="004437A6">
              <w:rPr>
                <w:b w:val="0"/>
                <w:bCs w:val="0"/>
              </w:rPr>
              <w:t>(ii) is not associated with a service to which any of the following items apply:</w:t>
            </w:r>
          </w:p>
          <w:p w14:paraId="0A88C525" w14:textId="77777777" w:rsidR="007017C8" w:rsidRPr="004437A6" w:rsidRDefault="007017C8" w:rsidP="007017C8">
            <w:pPr>
              <w:rPr>
                <w:b w:val="0"/>
                <w:bCs w:val="0"/>
              </w:rPr>
            </w:pPr>
            <w:r w:rsidRPr="004437A6">
              <w:rPr>
                <w:b w:val="0"/>
                <w:bCs w:val="0"/>
              </w:rPr>
              <w:t>(A) 177;</w:t>
            </w:r>
          </w:p>
          <w:p w14:paraId="3BFFE173" w14:textId="77777777" w:rsidR="007017C8" w:rsidRPr="004437A6" w:rsidRDefault="007017C8" w:rsidP="007017C8">
            <w:pPr>
              <w:rPr>
                <w:b w:val="0"/>
                <w:bCs w:val="0"/>
              </w:rPr>
            </w:pPr>
            <w:r w:rsidRPr="004437A6">
              <w:rPr>
                <w:b w:val="0"/>
                <w:bCs w:val="0"/>
              </w:rPr>
              <w:t>(B) 224 to 228;</w:t>
            </w:r>
          </w:p>
          <w:p w14:paraId="6278DDC7" w14:textId="77777777" w:rsidR="007017C8" w:rsidRPr="004437A6" w:rsidRDefault="007017C8" w:rsidP="007017C8">
            <w:pPr>
              <w:rPr>
                <w:b w:val="0"/>
                <w:bCs w:val="0"/>
              </w:rPr>
            </w:pPr>
            <w:r w:rsidRPr="004437A6">
              <w:rPr>
                <w:b w:val="0"/>
                <w:bCs w:val="0"/>
              </w:rPr>
              <w:t>(C) 231 to 244;</w:t>
            </w:r>
          </w:p>
          <w:p w14:paraId="51E115CD" w14:textId="77777777" w:rsidR="007017C8" w:rsidRPr="004437A6" w:rsidRDefault="007017C8" w:rsidP="007017C8">
            <w:pPr>
              <w:rPr>
                <w:b w:val="0"/>
                <w:bCs w:val="0"/>
              </w:rPr>
            </w:pPr>
            <w:r w:rsidRPr="004437A6">
              <w:rPr>
                <w:b w:val="0"/>
                <w:bCs w:val="0"/>
              </w:rPr>
              <w:t>(D) 392 or 393;</w:t>
            </w:r>
          </w:p>
          <w:p w14:paraId="430E32A3" w14:textId="77777777" w:rsidR="007017C8" w:rsidRPr="004437A6" w:rsidRDefault="007017C8" w:rsidP="007017C8">
            <w:pPr>
              <w:rPr>
                <w:b w:val="0"/>
                <w:bCs w:val="0"/>
              </w:rPr>
            </w:pPr>
            <w:r w:rsidRPr="004437A6">
              <w:rPr>
                <w:b w:val="0"/>
                <w:bCs w:val="0"/>
              </w:rPr>
              <w:t>(E) 699;</w:t>
            </w:r>
          </w:p>
          <w:p w14:paraId="12B976E7" w14:textId="77777777" w:rsidR="007017C8" w:rsidRPr="004437A6" w:rsidRDefault="007017C8" w:rsidP="007017C8">
            <w:pPr>
              <w:rPr>
                <w:b w:val="0"/>
                <w:bCs w:val="0"/>
              </w:rPr>
            </w:pPr>
            <w:r w:rsidRPr="004437A6">
              <w:rPr>
                <w:b w:val="0"/>
                <w:bCs w:val="0"/>
              </w:rPr>
              <w:t>(F) 701 to 707;</w:t>
            </w:r>
          </w:p>
          <w:p w14:paraId="70132DAB" w14:textId="77777777" w:rsidR="007017C8" w:rsidRPr="004437A6" w:rsidRDefault="007017C8" w:rsidP="007017C8">
            <w:pPr>
              <w:rPr>
                <w:b w:val="0"/>
                <w:bCs w:val="0"/>
              </w:rPr>
            </w:pPr>
            <w:r w:rsidRPr="004437A6">
              <w:rPr>
                <w:b w:val="0"/>
                <w:bCs w:val="0"/>
              </w:rPr>
              <w:t>(G) 715;</w:t>
            </w:r>
          </w:p>
          <w:p w14:paraId="2ACBEA57" w14:textId="77777777" w:rsidR="007017C8" w:rsidRPr="004437A6" w:rsidRDefault="007017C8" w:rsidP="007017C8">
            <w:pPr>
              <w:rPr>
                <w:b w:val="0"/>
                <w:bCs w:val="0"/>
              </w:rPr>
            </w:pPr>
            <w:r w:rsidRPr="004437A6">
              <w:rPr>
                <w:b w:val="0"/>
                <w:bCs w:val="0"/>
              </w:rPr>
              <w:t>(H) 729, 731, 965 or 967;</w:t>
            </w:r>
          </w:p>
          <w:p w14:paraId="6BE9D0C3" w14:textId="77777777" w:rsidR="007017C8" w:rsidRPr="004437A6" w:rsidRDefault="007017C8" w:rsidP="007017C8">
            <w:pPr>
              <w:rPr>
                <w:b w:val="0"/>
                <w:bCs w:val="0"/>
              </w:rPr>
            </w:pPr>
            <w:r w:rsidRPr="004437A6">
              <w:rPr>
                <w:b w:val="0"/>
                <w:bCs w:val="0"/>
              </w:rPr>
              <w:t>(I) 735 to 758;</w:t>
            </w:r>
          </w:p>
          <w:p w14:paraId="03FABBC9" w14:textId="0EC1ADE9" w:rsidR="007017C8" w:rsidRPr="004437A6" w:rsidRDefault="007017C8" w:rsidP="007017C8">
            <w:pPr>
              <w:rPr>
                <w:b w:val="0"/>
                <w:bCs w:val="0"/>
              </w:rPr>
            </w:pPr>
            <w:r w:rsidRPr="004437A6">
              <w:rPr>
                <w:b w:val="0"/>
                <w:bCs w:val="0"/>
              </w:rPr>
              <w:t xml:space="preserve">(J) 92004, 92011, 92026, 92027, 92029, </w:t>
            </w:r>
            <w:r w:rsidRPr="00925A51">
              <w:rPr>
                <w:b w:val="0"/>
                <w:bCs w:val="0"/>
              </w:rPr>
              <w:t xml:space="preserve">92030, </w:t>
            </w:r>
            <w:r w:rsidR="00E97C63" w:rsidRPr="00500B50">
              <w:rPr>
                <w:color w:val="CD0000"/>
              </w:rPr>
              <w:t>92033, 92034</w:t>
            </w:r>
            <w:r w:rsidR="00E97C63" w:rsidRPr="00925A51">
              <w:rPr>
                <w:b w:val="0"/>
                <w:bCs w:val="0"/>
              </w:rPr>
              <w:t xml:space="preserve">, </w:t>
            </w:r>
            <w:r w:rsidRPr="00925A51">
              <w:rPr>
                <w:b w:val="0"/>
                <w:bCs w:val="0"/>
              </w:rPr>
              <w:t xml:space="preserve">92057, 92058, </w:t>
            </w:r>
            <w:r w:rsidR="001132E3" w:rsidRPr="00925A51">
              <w:rPr>
                <w:b w:val="0"/>
                <w:bCs w:val="0"/>
              </w:rPr>
              <w:t xml:space="preserve">92060, 92061, </w:t>
            </w:r>
            <w:r w:rsidR="001132E3" w:rsidRPr="000E1B92">
              <w:rPr>
                <w:color w:val="CD0000"/>
              </w:rPr>
              <w:t>92063 or 92064</w:t>
            </w:r>
            <w:r w:rsidRPr="004437A6">
              <w:rPr>
                <w:b w:val="0"/>
                <w:bCs w:val="0"/>
              </w:rPr>
              <w:t>.</w:t>
            </w:r>
          </w:p>
          <w:p w14:paraId="4502B3B5" w14:textId="77777777" w:rsidR="007017C8" w:rsidRPr="004437A6" w:rsidRDefault="007017C8" w:rsidP="007017C8">
            <w:pPr>
              <w:rPr>
                <w:b w:val="0"/>
                <w:bCs w:val="0"/>
              </w:rPr>
            </w:pPr>
            <w:r w:rsidRPr="004437A6">
              <w:rPr>
                <w:b w:val="0"/>
                <w:bCs w:val="0"/>
              </w:rPr>
              <w:lastRenderedPageBreak/>
              <w:t xml:space="preserve">Applicable only once in any </w:t>
            </w:r>
            <w:proofErr w:type="gramStart"/>
            <w:r w:rsidRPr="004437A6">
              <w:rPr>
                <w:b w:val="0"/>
                <w:bCs w:val="0"/>
              </w:rPr>
              <w:t>12 month</w:t>
            </w:r>
            <w:proofErr w:type="gramEnd"/>
            <w:r w:rsidRPr="004437A6">
              <w:rPr>
                <w:b w:val="0"/>
                <w:bCs w:val="0"/>
              </w:rPr>
              <w:t xml:space="preserve"> period</w:t>
            </w:r>
          </w:p>
          <w:p w14:paraId="13B50E9C" w14:textId="77777777" w:rsidR="007017C8" w:rsidRPr="004437A6" w:rsidRDefault="007017C8" w:rsidP="007017C8">
            <w:r w:rsidRPr="004437A6">
              <w:t> </w:t>
            </w:r>
          </w:p>
          <w:p w14:paraId="23FE20B5" w14:textId="77777777" w:rsidR="007017C8" w:rsidRPr="004437A6" w:rsidRDefault="007017C8" w:rsidP="007017C8">
            <w:r w:rsidRPr="004437A6">
              <w:t>Fee: $123.20 Benefit: 75% = $92.40 85% = $104.75</w:t>
            </w:r>
          </w:p>
          <w:p w14:paraId="3794883D" w14:textId="77777777" w:rsidR="00642F20" w:rsidRPr="004437A6" w:rsidRDefault="00642F20" w:rsidP="00642F20">
            <w:pPr>
              <w:pStyle w:val="ListBullet"/>
              <w:rPr>
                <w:b w:val="0"/>
                <w:bCs w:val="0"/>
              </w:rPr>
            </w:pPr>
            <w:r w:rsidRPr="004437A6">
              <w:rPr>
                <w:b w:val="0"/>
                <w:bCs w:val="0"/>
              </w:rPr>
              <w:t>Private Health Insurance Classification:</w:t>
            </w:r>
          </w:p>
          <w:p w14:paraId="583B5F54" w14:textId="6458E28C" w:rsidR="00642F20" w:rsidRPr="004437A6" w:rsidRDefault="00642F20" w:rsidP="00642F20">
            <w:pPr>
              <w:pStyle w:val="ListBullet"/>
              <w:rPr>
                <w:b w:val="0"/>
                <w:bCs w:val="0"/>
              </w:rPr>
            </w:pPr>
            <w:r w:rsidRPr="004437A6">
              <w:rPr>
                <w:b w:val="0"/>
                <w:bCs w:val="0"/>
              </w:rPr>
              <w:t xml:space="preserve">Clinical category: </w:t>
            </w:r>
            <w:r w:rsidR="008C5FE4" w:rsidRPr="004437A6">
              <w:rPr>
                <w:b w:val="0"/>
                <w:bCs w:val="0"/>
              </w:rPr>
              <w:t>Heart and vascular system</w:t>
            </w:r>
          </w:p>
          <w:p w14:paraId="2BDF063F" w14:textId="40F7F12C" w:rsidR="00642F20" w:rsidRPr="004437A6" w:rsidRDefault="00642F20" w:rsidP="00642F20">
            <w:pPr>
              <w:pStyle w:val="ListBullet"/>
            </w:pPr>
            <w:r w:rsidRPr="004437A6">
              <w:rPr>
                <w:b w:val="0"/>
                <w:bCs w:val="0"/>
              </w:rPr>
              <w:t xml:space="preserve">Procedure type: Type </w:t>
            </w:r>
            <w:r w:rsidR="008C5FE4" w:rsidRPr="004437A6">
              <w:rPr>
                <w:b w:val="0"/>
                <w:bCs w:val="0"/>
              </w:rPr>
              <w:t>C</w:t>
            </w:r>
          </w:p>
        </w:tc>
      </w:tr>
      <w:bookmarkEnd w:id="2"/>
    </w:tbl>
    <w:p w14:paraId="508B4C47" w14:textId="0B9F0AE6" w:rsidR="00BE3ED5" w:rsidRDefault="00BE3ED5" w:rsidP="00BE3ED5"/>
    <w:p w14:paraId="7A410FAE" w14:textId="77777777" w:rsidR="007C31DD" w:rsidRDefault="007C31DD" w:rsidP="007C31DD">
      <w:pPr>
        <w:pStyle w:val="Disclaimer"/>
      </w:pPr>
      <w:r w:rsidRPr="0029176A">
        <w:t xml:space="preserve">Please note that the information provided is a general guide only. It is ultimately the responsibility of treating practitioners to use their professional judgment to determine the most clinically appropriate services to provide, and then to ensure that any services billed to Medicare fully meet the eligibility requirements outlined in the legislation. </w:t>
      </w:r>
    </w:p>
    <w:p w14:paraId="2D03879D" w14:textId="482820FF" w:rsidR="007C31DD" w:rsidRDefault="007C31DD" w:rsidP="007C31DD">
      <w:pPr>
        <w:pStyle w:val="Disclaimer"/>
      </w:pPr>
      <w:r w:rsidRPr="0029176A">
        <w:t xml:space="preserve">This </w:t>
      </w:r>
      <w:r w:rsidR="004E5226">
        <w:t>fact</w:t>
      </w:r>
      <w:r w:rsidRPr="0029176A">
        <w:t xml:space="preserve">sheet is current as of the </w:t>
      </w:r>
      <w:r>
        <w:t>L</w:t>
      </w:r>
      <w:r w:rsidRPr="0029176A">
        <w:t>ast updated date</w:t>
      </w:r>
      <w:r>
        <w:t xml:space="preserve"> shown above</w:t>
      </w:r>
      <w:r w:rsidRPr="0029176A">
        <w:t xml:space="preserve"> and does not account for MBS changes</w:t>
      </w:r>
      <w:r>
        <w:t xml:space="preserve"> since that date</w:t>
      </w:r>
      <w:r w:rsidRPr="0029176A">
        <w:t>.</w:t>
      </w:r>
    </w:p>
    <w:p w14:paraId="6F71C28A" w14:textId="77777777" w:rsidR="007C31DD" w:rsidRPr="00BE3ED5" w:rsidRDefault="007C31DD" w:rsidP="00BE3ED5"/>
    <w:sectPr w:rsidR="007C31DD" w:rsidRPr="00BE3ED5" w:rsidSect="00B53987">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83D60" w14:textId="77777777" w:rsidR="008E12CB" w:rsidRDefault="008E12CB" w:rsidP="006B56BB">
      <w:r>
        <w:separator/>
      </w:r>
    </w:p>
    <w:p w14:paraId="1B6751A3" w14:textId="77777777" w:rsidR="008E12CB" w:rsidRDefault="008E12CB"/>
  </w:endnote>
  <w:endnote w:type="continuationSeparator" w:id="0">
    <w:p w14:paraId="34EDA9DC" w14:textId="77777777" w:rsidR="008E12CB" w:rsidRDefault="008E12CB" w:rsidP="006B56BB">
      <w:r>
        <w:continuationSeparator/>
      </w:r>
    </w:p>
    <w:p w14:paraId="1C9A39D6" w14:textId="77777777" w:rsidR="008E12CB" w:rsidRDefault="008E12CB"/>
  </w:endnote>
  <w:endnote w:type="continuationNotice" w:id="1">
    <w:p w14:paraId="791B787E" w14:textId="77777777" w:rsidR="008E12CB" w:rsidRDefault="008E12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6E6BD" w14:textId="550F9A79" w:rsidR="00703146" w:rsidRDefault="00931D71">
    <w:pPr>
      <w:pStyle w:val="Footer"/>
    </w:pPr>
    <w:r>
      <w:rPr>
        <w:noProof/>
      </w:rPr>
      <mc:AlternateContent>
        <mc:Choice Requires="wps">
          <w:drawing>
            <wp:anchor distT="0" distB="0" distL="0" distR="0" simplePos="0" relativeHeight="251668480" behindDoc="0" locked="0" layoutInCell="1" allowOverlap="1" wp14:anchorId="52A60180" wp14:editId="30E685A2">
              <wp:simplePos x="635" y="635"/>
              <wp:positionH relativeFrom="page">
                <wp:align>center</wp:align>
              </wp:positionH>
              <wp:positionV relativeFrom="page">
                <wp:align>bottom</wp:align>
              </wp:positionV>
              <wp:extent cx="622300" cy="480695"/>
              <wp:effectExtent l="0" t="0" r="6350" b="0"/>
              <wp:wrapNone/>
              <wp:docPr id="83479225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C36A74A" w14:textId="07BCA5EA" w:rsidR="00931D71" w:rsidRPr="00931D71" w:rsidRDefault="00931D71" w:rsidP="00931D71">
                          <w:pPr>
                            <w:spacing w:after="0"/>
                            <w:rPr>
                              <w:rFonts w:ascii="Aptos" w:eastAsia="Aptos" w:hAnsi="Aptos" w:cs="Aptos"/>
                              <w:noProof/>
                              <w:color w:val="FF0000"/>
                              <w:sz w:val="24"/>
                            </w:rPr>
                          </w:pPr>
                          <w:r w:rsidRPr="00931D71">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A60180" id="_x0000_t202" coordsize="21600,21600" o:spt="202" path="m,l,21600r21600,l21600,xe">
              <v:stroke joinstyle="miter"/>
              <v:path gradientshapeok="t" o:connecttype="rect"/>
            </v:shapetype>
            <v:shape id="Text Box 11" o:spid="_x0000_s1028" type="#_x0000_t202" alt="OFFICIAL" style="position:absolute;left:0;text-align:left;margin-left:0;margin-top:0;width:49pt;height:37.8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fill o:detectmouseclick="t"/>
              <v:textbox style="mso-fit-shape-to-text:t" inset="0,0,0,15pt">
                <w:txbxContent>
                  <w:p w14:paraId="6C36A74A" w14:textId="07BCA5EA" w:rsidR="00931D71" w:rsidRPr="00931D71" w:rsidRDefault="00931D71" w:rsidP="00931D71">
                    <w:pPr>
                      <w:spacing w:after="0"/>
                      <w:rPr>
                        <w:rFonts w:ascii="Aptos" w:eastAsia="Aptos" w:hAnsi="Aptos" w:cs="Aptos"/>
                        <w:noProof/>
                        <w:color w:val="FF0000"/>
                        <w:sz w:val="24"/>
                      </w:rPr>
                    </w:pPr>
                    <w:r w:rsidRPr="00931D71">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E362" w14:textId="46941303" w:rsidR="00F51321" w:rsidRPr="00BD1D77" w:rsidRDefault="00931D71" w:rsidP="00F51321">
    <w:pPr>
      <w:pStyle w:val="Footer"/>
      <w:jc w:val="left"/>
      <w:rPr>
        <w:szCs w:val="20"/>
      </w:rPr>
    </w:pPr>
    <w:r>
      <w:rPr>
        <w:rFonts w:asciiTheme="minorHAnsi" w:eastAsiaTheme="minorEastAsia" w:hAnsiTheme="minorHAnsi"/>
        <w:b/>
        <w:bCs/>
        <w:i/>
        <w:iCs/>
        <w:noProof/>
        <w:spacing w:val="5"/>
        <w:sz w:val="22"/>
      </w:rPr>
      <mc:AlternateContent>
        <mc:Choice Requires="wps">
          <w:drawing>
            <wp:anchor distT="0" distB="0" distL="0" distR="0" simplePos="0" relativeHeight="251669504" behindDoc="0" locked="0" layoutInCell="1" allowOverlap="1" wp14:anchorId="39AA3CC5" wp14:editId="6756C23B">
              <wp:simplePos x="635" y="635"/>
              <wp:positionH relativeFrom="page">
                <wp:align>center</wp:align>
              </wp:positionH>
              <wp:positionV relativeFrom="page">
                <wp:align>bottom</wp:align>
              </wp:positionV>
              <wp:extent cx="622300" cy="480695"/>
              <wp:effectExtent l="0" t="0" r="6350" b="0"/>
              <wp:wrapNone/>
              <wp:docPr id="105643415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DD4D7D6" w14:textId="323F2800" w:rsidR="00931D71" w:rsidRPr="00931D71" w:rsidRDefault="00931D71" w:rsidP="00931D71">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AA3CC5" id="_x0000_t202" coordsize="21600,21600" o:spt="202" path="m,l,21600r21600,l21600,xe">
              <v:stroke joinstyle="miter"/>
              <v:path gradientshapeok="t" o:connecttype="rect"/>
            </v:shapetype>
            <v:shape id="Text Box 12" o:spid="_x0000_s1029" type="#_x0000_t202" alt="OFFICIAL" style="position:absolute;margin-left:0;margin-top:0;width:49pt;height:37.8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fill o:detectmouseclick="t"/>
              <v:textbox style="mso-fit-shape-to-text:t" inset="0,0,0,15pt">
                <w:txbxContent>
                  <w:p w14:paraId="7DD4D7D6" w14:textId="323F2800" w:rsidR="00931D71" w:rsidRPr="00931D71" w:rsidRDefault="00931D71" w:rsidP="00931D71">
                    <w:pPr>
                      <w:spacing w:after="0"/>
                      <w:rPr>
                        <w:rFonts w:ascii="Aptos" w:eastAsia="Aptos" w:hAnsi="Aptos" w:cs="Aptos"/>
                        <w:noProof/>
                        <w:color w:val="FF0000"/>
                        <w:sz w:val="24"/>
                      </w:rPr>
                    </w:pPr>
                  </w:p>
                </w:txbxContent>
              </v:textbox>
              <w10:wrap anchorx="page" anchory="page"/>
            </v:shape>
          </w:pict>
        </mc:Fallback>
      </mc:AlternateContent>
    </w:r>
    <w:r w:rsidR="00000000">
      <w:rPr>
        <w:rStyle w:val="BookTitle"/>
        <w:rFonts w:eastAsiaTheme="minorEastAsia"/>
        <w:noProof/>
      </w:rPr>
      <w:pict w14:anchorId="79578A0C">
        <v:rect id="_x0000_i1025" style="width:523.3pt;height:1.9pt" o:hralign="center" o:hrstd="t" o:hr="t" fillcolor="#a0a0a0" stroked="f"/>
      </w:pict>
    </w:r>
    <w:r w:rsidR="00F51321" w:rsidRPr="00BD1D77">
      <w:rPr>
        <w:szCs w:val="20"/>
      </w:rPr>
      <w:t>Medicare Benefits Schedule</w:t>
    </w:r>
  </w:p>
  <w:p w14:paraId="1EBE15CC" w14:textId="38FE1711" w:rsidR="00F51321" w:rsidRPr="00BD1D77" w:rsidRDefault="00FE00E0" w:rsidP="00F51321">
    <w:pPr>
      <w:pStyle w:val="Footer"/>
      <w:tabs>
        <w:tab w:val="clear" w:pos="9026"/>
        <w:tab w:val="right" w:pos="10466"/>
      </w:tabs>
      <w:rPr>
        <w:szCs w:val="20"/>
      </w:rPr>
    </w:pPr>
    <w:r>
      <w:rPr>
        <w:b/>
        <w:szCs w:val="20"/>
      </w:rPr>
      <w:t>Amendment to ambulatory blood pressure monitoring item</w:t>
    </w:r>
    <w:r w:rsidR="00F51321" w:rsidRPr="00BD1D77">
      <w:rPr>
        <w:b/>
        <w:szCs w:val="20"/>
      </w:rPr>
      <w:t xml:space="preserve"> – Factsheet</w:t>
    </w:r>
    <w:r w:rsidR="00F51321" w:rsidRPr="00BD1D77">
      <w:rPr>
        <w:szCs w:val="20"/>
      </w:rPr>
      <w:t xml:space="preserve"> </w:t>
    </w:r>
    <w:sdt>
      <w:sdtPr>
        <w:rPr>
          <w:szCs w:val="20"/>
        </w:rPr>
        <w:id w:val="-1817632189"/>
        <w:docPartObj>
          <w:docPartGallery w:val="Page Numbers (Bottom of Page)"/>
          <w:docPartUnique/>
        </w:docPartObj>
      </w:sdtPr>
      <w:sdtEndPr>
        <w:rPr>
          <w:noProof/>
        </w:rPr>
      </w:sdtEndPr>
      <w:sdtContent>
        <w:r w:rsidR="00F51321" w:rsidRPr="00BD1D77">
          <w:rPr>
            <w:szCs w:val="20"/>
          </w:rPr>
          <w:tab/>
        </w:r>
        <w:sdt>
          <w:sdtPr>
            <w:rPr>
              <w:szCs w:val="20"/>
            </w:rPr>
            <w:id w:val="-1127629339"/>
            <w:docPartObj>
              <w:docPartGallery w:val="Page Numbers (Bottom of Page)"/>
              <w:docPartUnique/>
            </w:docPartObj>
          </w:sdtPr>
          <w:sdtContent>
            <w:sdt>
              <w:sdtPr>
                <w:rPr>
                  <w:szCs w:val="20"/>
                </w:rPr>
                <w:id w:val="1762873439"/>
                <w:docPartObj>
                  <w:docPartGallery w:val="Page Numbers (Top of Page)"/>
                  <w:docPartUnique/>
                </w:docPartObj>
              </w:sdtPr>
              <w:sdtContent>
                <w:r w:rsidR="00F51321" w:rsidRPr="00BD1D77">
                  <w:rPr>
                    <w:szCs w:val="20"/>
                  </w:rPr>
                  <w:t xml:space="preserve">Page </w:t>
                </w:r>
                <w:r w:rsidR="00F51321" w:rsidRPr="00292535">
                  <w:rPr>
                    <w:bCs/>
                    <w:szCs w:val="20"/>
                  </w:rPr>
                  <w:fldChar w:fldCharType="begin"/>
                </w:r>
                <w:r w:rsidR="00F51321" w:rsidRPr="00BD1D77">
                  <w:rPr>
                    <w:bCs/>
                    <w:szCs w:val="20"/>
                  </w:rPr>
                  <w:instrText xml:space="preserve"> PAGE </w:instrText>
                </w:r>
                <w:r w:rsidR="00F51321" w:rsidRPr="00292535">
                  <w:rPr>
                    <w:bCs/>
                    <w:szCs w:val="20"/>
                  </w:rPr>
                  <w:fldChar w:fldCharType="separate"/>
                </w:r>
                <w:r w:rsidR="00F51321" w:rsidRPr="00292535">
                  <w:rPr>
                    <w:bCs/>
                    <w:szCs w:val="20"/>
                  </w:rPr>
                  <w:t>1</w:t>
                </w:r>
                <w:r w:rsidR="00F51321" w:rsidRPr="00292535">
                  <w:rPr>
                    <w:bCs/>
                    <w:szCs w:val="20"/>
                  </w:rPr>
                  <w:fldChar w:fldCharType="end"/>
                </w:r>
                <w:r w:rsidR="00F51321" w:rsidRPr="00BD1D77">
                  <w:rPr>
                    <w:szCs w:val="20"/>
                  </w:rPr>
                  <w:t xml:space="preserve"> of </w:t>
                </w:r>
                <w:r w:rsidR="00F51321" w:rsidRPr="00292535">
                  <w:rPr>
                    <w:bCs/>
                    <w:szCs w:val="20"/>
                  </w:rPr>
                  <w:fldChar w:fldCharType="begin"/>
                </w:r>
                <w:r w:rsidR="00F51321" w:rsidRPr="00BD1D77">
                  <w:rPr>
                    <w:bCs/>
                    <w:szCs w:val="20"/>
                  </w:rPr>
                  <w:instrText xml:space="preserve"> NUMPAGES  </w:instrText>
                </w:r>
                <w:r w:rsidR="00F51321" w:rsidRPr="00292535">
                  <w:rPr>
                    <w:bCs/>
                    <w:szCs w:val="20"/>
                  </w:rPr>
                  <w:fldChar w:fldCharType="separate"/>
                </w:r>
                <w:r w:rsidR="00F51321" w:rsidRPr="00292535">
                  <w:rPr>
                    <w:bCs/>
                    <w:szCs w:val="20"/>
                  </w:rPr>
                  <w:t>1</w:t>
                </w:r>
                <w:r w:rsidR="00F51321" w:rsidRPr="00292535">
                  <w:rPr>
                    <w:bCs/>
                    <w:szCs w:val="20"/>
                  </w:rPr>
                  <w:fldChar w:fldCharType="end"/>
                </w:r>
              </w:sdtContent>
            </w:sdt>
          </w:sdtContent>
        </w:sdt>
        <w:r w:rsidR="00F51321" w:rsidRPr="00BD1D77">
          <w:rPr>
            <w:szCs w:val="20"/>
          </w:rPr>
          <w:t xml:space="preserve"> </w:t>
        </w:r>
      </w:sdtContent>
    </w:sdt>
  </w:p>
  <w:p w14:paraId="7D56FBDD" w14:textId="71DD0E4E" w:rsidR="00F51321" w:rsidRPr="00BD1D77" w:rsidRDefault="009F5046" w:rsidP="00F51321">
    <w:pPr>
      <w:pStyle w:val="Footer"/>
      <w:jc w:val="left"/>
      <w:rPr>
        <w:rStyle w:val="Hyperlink"/>
        <w:szCs w:val="20"/>
      </w:rPr>
    </w:pPr>
    <w:hyperlink r:id="rId1" w:history="1">
      <w:r w:rsidRPr="00BD1D77">
        <w:rPr>
          <w:rStyle w:val="Hyperlink"/>
          <w:szCs w:val="20"/>
        </w:rPr>
        <w:t>MBS Online</w:t>
      </w:r>
    </w:hyperlink>
  </w:p>
  <w:p w14:paraId="78B91981" w14:textId="6BEC09F6" w:rsidR="00CB03B8" w:rsidRPr="00F51321" w:rsidRDefault="00F51321" w:rsidP="00292535">
    <w:pPr>
      <w:pStyle w:val="Footer"/>
      <w:jc w:val="left"/>
    </w:pPr>
    <w:r w:rsidRPr="00BD1D77">
      <w:rPr>
        <w:szCs w:val="20"/>
      </w:rPr>
      <w:t xml:space="preserve">Last updated – </w:t>
    </w:r>
    <w:r w:rsidR="000F58FC">
      <w:rPr>
        <w:szCs w:val="20"/>
      </w:rPr>
      <w:t>7 Oct</w:t>
    </w:r>
    <w:r w:rsidR="00327859">
      <w:rPr>
        <w:szCs w:val="20"/>
      </w:rPr>
      <w:t>ober</w:t>
    </w:r>
    <w:r w:rsidR="00696A32">
      <w:rPr>
        <w:szCs w:val="20"/>
      </w:rPr>
      <w:t xml:space="preserve"> 202</w:t>
    </w:r>
    <w:r w:rsidR="006F67A9">
      <w:rPr>
        <w:szCs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5650" w14:textId="0724A2BA" w:rsidR="00064168" w:rsidRPr="00BD1D77" w:rsidRDefault="00931D71" w:rsidP="00064168">
    <w:pPr>
      <w:pStyle w:val="Footer"/>
      <w:jc w:val="left"/>
      <w:rPr>
        <w:szCs w:val="20"/>
      </w:rPr>
    </w:pPr>
    <w:r>
      <w:rPr>
        <w:rFonts w:asciiTheme="minorHAnsi" w:eastAsiaTheme="minorEastAsia" w:hAnsiTheme="minorHAnsi"/>
        <w:b/>
        <w:bCs/>
        <w:i/>
        <w:iCs/>
        <w:noProof/>
        <w:spacing w:val="5"/>
        <w:sz w:val="22"/>
      </w:rPr>
      <mc:AlternateContent>
        <mc:Choice Requires="wps">
          <w:drawing>
            <wp:anchor distT="0" distB="0" distL="0" distR="0" simplePos="0" relativeHeight="251667456" behindDoc="0" locked="0" layoutInCell="1" allowOverlap="1" wp14:anchorId="23835FF0" wp14:editId="70359281">
              <wp:simplePos x="635" y="635"/>
              <wp:positionH relativeFrom="page">
                <wp:align>center</wp:align>
              </wp:positionH>
              <wp:positionV relativeFrom="page">
                <wp:align>bottom</wp:align>
              </wp:positionV>
              <wp:extent cx="622300" cy="480695"/>
              <wp:effectExtent l="0" t="0" r="6350" b="0"/>
              <wp:wrapNone/>
              <wp:docPr id="642158809"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558A46D" w14:textId="576AAB6C" w:rsidR="00931D71" w:rsidRPr="00931D71" w:rsidRDefault="00931D71" w:rsidP="00931D71">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835FF0" id="_x0000_t202" coordsize="21600,21600" o:spt="202" path="m,l,21600r21600,l21600,xe">
              <v:stroke joinstyle="miter"/>
              <v:path gradientshapeok="t" o:connecttype="rect"/>
            </v:shapetype>
            <v:shape id="Text Box 10" o:spid="_x0000_s1031" type="#_x0000_t202" alt="OFFICIAL" style="position:absolute;margin-left:0;margin-top:0;width:49pt;height:37.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GYbVKAwCAAAcBAAA&#10;DgAAAAAAAAAAAAAAAAAuAgAAZHJzL2Uyb0RvYy54bWxQSwECLQAUAAYACAAAACEAHblB0doAAAAD&#10;AQAADwAAAAAAAAAAAAAAAABmBAAAZHJzL2Rvd25yZXYueG1sUEsFBgAAAAAEAAQA8wAAAG0FAAAA&#10;AA==&#10;" filled="f" stroked="f">
              <v:fill o:detectmouseclick="t"/>
              <v:textbox style="mso-fit-shape-to-text:t" inset="0,0,0,15pt">
                <w:txbxContent>
                  <w:p w14:paraId="7558A46D" w14:textId="576AAB6C" w:rsidR="00931D71" w:rsidRPr="00931D71" w:rsidRDefault="00931D71" w:rsidP="00931D71">
                    <w:pPr>
                      <w:spacing w:after="0"/>
                      <w:rPr>
                        <w:rFonts w:ascii="Aptos" w:eastAsia="Aptos" w:hAnsi="Aptos" w:cs="Aptos"/>
                        <w:noProof/>
                        <w:color w:val="FF0000"/>
                        <w:sz w:val="24"/>
                      </w:rPr>
                    </w:pPr>
                  </w:p>
                </w:txbxContent>
              </v:textbox>
              <w10:wrap anchorx="page" anchory="page"/>
            </v:shape>
          </w:pict>
        </mc:Fallback>
      </mc:AlternateContent>
    </w:r>
    <w:r w:rsidR="00000000">
      <w:rPr>
        <w:rStyle w:val="BookTitle"/>
        <w:rFonts w:eastAsiaTheme="minorEastAsia"/>
        <w:noProof/>
      </w:rPr>
      <w:pict w14:anchorId="1DB3991B">
        <v:rect id="_x0000_i1026" style="width:523.3pt;height:1.9pt" o:hralign="center" o:hrstd="t" o:hr="t" fillcolor="#a0a0a0" stroked="f"/>
      </w:pict>
    </w:r>
    <w:r w:rsidR="00064168" w:rsidRPr="00BD1D77">
      <w:rPr>
        <w:szCs w:val="20"/>
      </w:rPr>
      <w:t>Medicare Benefits Schedule</w:t>
    </w:r>
  </w:p>
  <w:p w14:paraId="7DCCE2B2" w14:textId="29ADF61D" w:rsidR="00064168" w:rsidRPr="00BD1D77" w:rsidRDefault="00FE00E0" w:rsidP="00064168">
    <w:pPr>
      <w:pStyle w:val="Footer"/>
      <w:tabs>
        <w:tab w:val="clear" w:pos="9026"/>
        <w:tab w:val="right" w:pos="10466"/>
      </w:tabs>
      <w:rPr>
        <w:szCs w:val="20"/>
      </w:rPr>
    </w:pPr>
    <w:r>
      <w:rPr>
        <w:b/>
        <w:szCs w:val="20"/>
      </w:rPr>
      <w:t>Amendment to ambulatory blood pressure monitoring item</w:t>
    </w:r>
    <w:r w:rsidR="00064168" w:rsidRPr="00BD1D77">
      <w:rPr>
        <w:b/>
        <w:szCs w:val="20"/>
      </w:rPr>
      <w:t xml:space="preserve"> – Factsheet</w:t>
    </w:r>
    <w:r w:rsidR="00064168" w:rsidRPr="00BD1D77">
      <w:rPr>
        <w:szCs w:val="20"/>
      </w:rPr>
      <w:t xml:space="preserve"> </w:t>
    </w:r>
    <w:sdt>
      <w:sdtPr>
        <w:rPr>
          <w:szCs w:val="20"/>
        </w:rPr>
        <w:id w:val="960607005"/>
        <w:docPartObj>
          <w:docPartGallery w:val="Page Numbers (Bottom of Page)"/>
          <w:docPartUnique/>
        </w:docPartObj>
      </w:sdtPr>
      <w:sdtEndPr>
        <w:rPr>
          <w:noProof/>
        </w:rPr>
      </w:sdtEndPr>
      <w:sdtContent>
        <w:r w:rsidR="00064168" w:rsidRPr="00BD1D77">
          <w:rPr>
            <w:szCs w:val="20"/>
          </w:rPr>
          <w:tab/>
        </w:r>
        <w:sdt>
          <w:sdtPr>
            <w:rPr>
              <w:szCs w:val="20"/>
            </w:rPr>
            <w:id w:val="-720741692"/>
            <w:docPartObj>
              <w:docPartGallery w:val="Page Numbers (Bottom of Page)"/>
              <w:docPartUnique/>
            </w:docPartObj>
          </w:sdtPr>
          <w:sdtContent>
            <w:sdt>
              <w:sdtPr>
                <w:rPr>
                  <w:szCs w:val="20"/>
                </w:rPr>
                <w:id w:val="1701501531"/>
                <w:docPartObj>
                  <w:docPartGallery w:val="Page Numbers (Top of Page)"/>
                  <w:docPartUnique/>
                </w:docPartObj>
              </w:sdtPr>
              <w:sdtContent>
                <w:r w:rsidR="00064168" w:rsidRPr="00BD1D77">
                  <w:rPr>
                    <w:szCs w:val="20"/>
                  </w:rPr>
                  <w:t xml:space="preserve">Page </w:t>
                </w:r>
                <w:r w:rsidR="00064168" w:rsidRPr="00292535">
                  <w:rPr>
                    <w:bCs/>
                    <w:szCs w:val="20"/>
                  </w:rPr>
                  <w:fldChar w:fldCharType="begin"/>
                </w:r>
                <w:r w:rsidR="00064168" w:rsidRPr="00BD1D77">
                  <w:rPr>
                    <w:bCs/>
                    <w:szCs w:val="20"/>
                  </w:rPr>
                  <w:instrText xml:space="preserve"> PAGE </w:instrText>
                </w:r>
                <w:r w:rsidR="00064168" w:rsidRPr="00292535">
                  <w:rPr>
                    <w:bCs/>
                    <w:szCs w:val="20"/>
                  </w:rPr>
                  <w:fldChar w:fldCharType="separate"/>
                </w:r>
                <w:r w:rsidR="00064168" w:rsidRPr="00292535">
                  <w:rPr>
                    <w:bCs/>
                    <w:szCs w:val="20"/>
                  </w:rPr>
                  <w:t>1</w:t>
                </w:r>
                <w:r w:rsidR="00064168" w:rsidRPr="00292535">
                  <w:rPr>
                    <w:bCs/>
                    <w:szCs w:val="20"/>
                  </w:rPr>
                  <w:fldChar w:fldCharType="end"/>
                </w:r>
                <w:r w:rsidR="00064168" w:rsidRPr="00BD1D77">
                  <w:rPr>
                    <w:szCs w:val="20"/>
                  </w:rPr>
                  <w:t xml:space="preserve"> of </w:t>
                </w:r>
                <w:r w:rsidR="00064168" w:rsidRPr="00292535">
                  <w:rPr>
                    <w:bCs/>
                    <w:szCs w:val="20"/>
                  </w:rPr>
                  <w:fldChar w:fldCharType="begin"/>
                </w:r>
                <w:r w:rsidR="00064168" w:rsidRPr="00BD1D77">
                  <w:rPr>
                    <w:bCs/>
                    <w:szCs w:val="20"/>
                  </w:rPr>
                  <w:instrText xml:space="preserve"> NUMPAGES  </w:instrText>
                </w:r>
                <w:r w:rsidR="00064168" w:rsidRPr="00292535">
                  <w:rPr>
                    <w:bCs/>
                    <w:szCs w:val="20"/>
                  </w:rPr>
                  <w:fldChar w:fldCharType="separate"/>
                </w:r>
                <w:r w:rsidR="00064168" w:rsidRPr="00292535">
                  <w:rPr>
                    <w:bCs/>
                    <w:szCs w:val="20"/>
                  </w:rPr>
                  <w:t>1</w:t>
                </w:r>
                <w:r w:rsidR="00064168" w:rsidRPr="00292535">
                  <w:rPr>
                    <w:bCs/>
                    <w:szCs w:val="20"/>
                  </w:rPr>
                  <w:fldChar w:fldCharType="end"/>
                </w:r>
              </w:sdtContent>
            </w:sdt>
          </w:sdtContent>
        </w:sdt>
        <w:r w:rsidR="00064168" w:rsidRPr="00BD1D77">
          <w:rPr>
            <w:szCs w:val="20"/>
          </w:rPr>
          <w:t xml:space="preserve"> </w:t>
        </w:r>
      </w:sdtContent>
    </w:sdt>
  </w:p>
  <w:p w14:paraId="3821CA3D" w14:textId="57B3B071" w:rsidR="00064168" w:rsidRPr="00BD1D77" w:rsidRDefault="009F5046" w:rsidP="00064168">
    <w:pPr>
      <w:pStyle w:val="Footer"/>
      <w:jc w:val="left"/>
      <w:rPr>
        <w:rStyle w:val="Hyperlink"/>
        <w:szCs w:val="20"/>
      </w:rPr>
    </w:pPr>
    <w:hyperlink r:id="rId1" w:history="1">
      <w:r w:rsidRPr="00BD1D77">
        <w:rPr>
          <w:rStyle w:val="Hyperlink"/>
          <w:szCs w:val="20"/>
        </w:rPr>
        <w:t>MBS Online</w:t>
      </w:r>
    </w:hyperlink>
  </w:p>
  <w:p w14:paraId="03585E81" w14:textId="43D304C9" w:rsidR="00064168" w:rsidRPr="00BD1D77" w:rsidRDefault="00064168" w:rsidP="00064168">
    <w:pPr>
      <w:pStyle w:val="Footer"/>
      <w:jc w:val="left"/>
      <w:rPr>
        <w:szCs w:val="20"/>
      </w:rPr>
    </w:pPr>
    <w:r w:rsidRPr="00BD1D77">
      <w:rPr>
        <w:szCs w:val="20"/>
      </w:rPr>
      <w:t xml:space="preserve">Last updated – </w:t>
    </w:r>
    <w:r w:rsidR="00327859">
      <w:rPr>
        <w:szCs w:val="20"/>
      </w:rPr>
      <w:t>7 October</w:t>
    </w:r>
    <w:r w:rsidR="00696A32">
      <w:rPr>
        <w:szCs w:val="20"/>
      </w:rPr>
      <w:t xml:space="preserve"> 202</w:t>
    </w:r>
    <w:r w:rsidR="006F67A9">
      <w:rPr>
        <w:szCs w:val="20"/>
      </w:rPr>
      <w:t>6</w:t>
    </w:r>
  </w:p>
  <w:p w14:paraId="2964AB57" w14:textId="77777777" w:rsidR="00CB03B8" w:rsidRPr="00064168" w:rsidRDefault="00CB03B8" w:rsidP="00064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85E7F" w14:textId="77777777" w:rsidR="008E12CB" w:rsidRDefault="008E12CB" w:rsidP="006B56BB">
      <w:r>
        <w:separator/>
      </w:r>
    </w:p>
    <w:p w14:paraId="046E01B0" w14:textId="77777777" w:rsidR="008E12CB" w:rsidRDefault="008E12CB"/>
  </w:footnote>
  <w:footnote w:type="continuationSeparator" w:id="0">
    <w:p w14:paraId="3287A359" w14:textId="77777777" w:rsidR="008E12CB" w:rsidRDefault="008E12CB" w:rsidP="006B56BB">
      <w:r>
        <w:continuationSeparator/>
      </w:r>
    </w:p>
    <w:p w14:paraId="18926274" w14:textId="77777777" w:rsidR="008E12CB" w:rsidRDefault="008E12CB"/>
  </w:footnote>
  <w:footnote w:type="continuationNotice" w:id="1">
    <w:p w14:paraId="6972FB4F" w14:textId="77777777" w:rsidR="008E12CB" w:rsidRDefault="008E12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15609" w14:textId="1C541A7E" w:rsidR="00703146" w:rsidRDefault="00931D71">
    <w:pPr>
      <w:pStyle w:val="Header"/>
    </w:pPr>
    <w:r>
      <w:rPr>
        <w:noProof/>
      </w:rPr>
      <mc:AlternateContent>
        <mc:Choice Requires="wps">
          <w:drawing>
            <wp:anchor distT="0" distB="0" distL="0" distR="0" simplePos="0" relativeHeight="251665408" behindDoc="0" locked="0" layoutInCell="1" allowOverlap="1" wp14:anchorId="618910C3" wp14:editId="3C859236">
              <wp:simplePos x="635" y="635"/>
              <wp:positionH relativeFrom="page">
                <wp:align>center</wp:align>
              </wp:positionH>
              <wp:positionV relativeFrom="page">
                <wp:align>top</wp:align>
              </wp:positionV>
              <wp:extent cx="622300" cy="480695"/>
              <wp:effectExtent l="0" t="0" r="6350" b="14605"/>
              <wp:wrapNone/>
              <wp:docPr id="28376666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274063C" w14:textId="68202999" w:rsidR="00931D71" w:rsidRPr="00931D71" w:rsidRDefault="00931D71" w:rsidP="00931D71">
                          <w:pPr>
                            <w:spacing w:after="0"/>
                            <w:rPr>
                              <w:rFonts w:ascii="Aptos" w:eastAsia="Aptos" w:hAnsi="Aptos" w:cs="Aptos"/>
                              <w:noProof/>
                              <w:color w:val="FF0000"/>
                              <w:sz w:val="24"/>
                            </w:rPr>
                          </w:pPr>
                          <w:r w:rsidRPr="00931D71">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8910C3" id="_x0000_t202" coordsize="21600,21600" o:spt="202" path="m,l,21600r21600,l21600,xe">
              <v:stroke joinstyle="miter"/>
              <v:path gradientshapeok="t" o:connecttype="rect"/>
            </v:shapetype>
            <v:shape id="Text Box 8" o:spid="_x0000_s1026" type="#_x0000_t202" alt="OFFICIAL" style="position:absolute;margin-left:0;margin-top:0;width:49pt;height:37.8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fill o:detectmouseclick="t"/>
              <v:textbox style="mso-fit-shape-to-text:t" inset="0,15pt,0,0">
                <w:txbxContent>
                  <w:p w14:paraId="7274063C" w14:textId="68202999" w:rsidR="00931D71" w:rsidRPr="00931D71" w:rsidRDefault="00931D71" w:rsidP="00931D71">
                    <w:pPr>
                      <w:spacing w:after="0"/>
                      <w:rPr>
                        <w:rFonts w:ascii="Aptos" w:eastAsia="Aptos" w:hAnsi="Aptos" w:cs="Aptos"/>
                        <w:noProof/>
                        <w:color w:val="FF0000"/>
                        <w:sz w:val="24"/>
                      </w:rPr>
                    </w:pPr>
                    <w:r w:rsidRPr="00931D71">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8D39" w14:textId="1AD963D2" w:rsidR="00703146" w:rsidRDefault="00931D71">
    <w:pPr>
      <w:pStyle w:val="Header"/>
    </w:pPr>
    <w:r>
      <w:rPr>
        <w:noProof/>
      </w:rPr>
      <mc:AlternateContent>
        <mc:Choice Requires="wps">
          <w:drawing>
            <wp:anchor distT="0" distB="0" distL="0" distR="0" simplePos="0" relativeHeight="251666432" behindDoc="0" locked="0" layoutInCell="1" allowOverlap="1" wp14:anchorId="20D72743" wp14:editId="0BD35B10">
              <wp:simplePos x="635" y="635"/>
              <wp:positionH relativeFrom="page">
                <wp:align>center</wp:align>
              </wp:positionH>
              <wp:positionV relativeFrom="page">
                <wp:align>top</wp:align>
              </wp:positionV>
              <wp:extent cx="622300" cy="480695"/>
              <wp:effectExtent l="0" t="0" r="6350" b="14605"/>
              <wp:wrapNone/>
              <wp:docPr id="781704972"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0265E35" w14:textId="1C5DD96B" w:rsidR="00931D71" w:rsidRPr="00931D71" w:rsidRDefault="00931D71" w:rsidP="00931D71">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D72743" id="_x0000_t202" coordsize="21600,21600" o:spt="202" path="m,l,21600r21600,l21600,xe">
              <v:stroke joinstyle="miter"/>
              <v:path gradientshapeok="t" o:connecttype="rect"/>
            </v:shapetype>
            <v:shape id="Text Box 9" o:spid="_x0000_s1027" type="#_x0000_t202" alt="OFFICIAL" style="position:absolute;margin-left:0;margin-top:0;width:49pt;height:37.8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fill o:detectmouseclick="t"/>
              <v:textbox style="mso-fit-shape-to-text:t" inset="0,15pt,0,0">
                <w:txbxContent>
                  <w:p w14:paraId="10265E35" w14:textId="1C5DD96B" w:rsidR="00931D71" w:rsidRPr="00931D71" w:rsidRDefault="00931D71" w:rsidP="00931D71">
                    <w:pPr>
                      <w:spacing w:after="0"/>
                      <w:rPr>
                        <w:rFonts w:ascii="Aptos" w:eastAsia="Aptos" w:hAnsi="Aptos" w:cs="Aptos"/>
                        <w:noProof/>
                        <w:color w:val="FF0000"/>
                        <w:sz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833E8" w14:textId="3CA39363" w:rsidR="00B53987" w:rsidRDefault="00931D71">
    <w:pPr>
      <w:pStyle w:val="Header"/>
    </w:pPr>
    <w:r>
      <w:rPr>
        <w:noProof/>
        <w:lang w:eastAsia="en-AU"/>
      </w:rPr>
      <mc:AlternateContent>
        <mc:Choice Requires="wps">
          <w:drawing>
            <wp:anchor distT="0" distB="0" distL="0" distR="0" simplePos="0" relativeHeight="251664384" behindDoc="0" locked="0" layoutInCell="1" allowOverlap="1" wp14:anchorId="6A5A1B39" wp14:editId="33727F74">
              <wp:simplePos x="635" y="635"/>
              <wp:positionH relativeFrom="page">
                <wp:align>center</wp:align>
              </wp:positionH>
              <wp:positionV relativeFrom="page">
                <wp:align>top</wp:align>
              </wp:positionV>
              <wp:extent cx="622300" cy="480695"/>
              <wp:effectExtent l="0" t="0" r="6350" b="14605"/>
              <wp:wrapNone/>
              <wp:docPr id="178037381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D52F22A" w14:textId="77E4B76D" w:rsidR="00931D71" w:rsidRPr="00931D71" w:rsidRDefault="00931D71" w:rsidP="00931D71">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5A1B39" id="_x0000_t202" coordsize="21600,21600" o:spt="202" path="m,l,21600r21600,l21600,xe">
              <v:stroke joinstyle="miter"/>
              <v:path gradientshapeok="t" o:connecttype="rect"/>
            </v:shapetype>
            <v:shape id="Text Box 7" o:spid="_x0000_s1030" type="#_x0000_t202" alt="OFFICIAL" style="position:absolute;margin-left:0;margin-top:0;width:49pt;height:37.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fill o:detectmouseclick="t"/>
              <v:textbox style="mso-fit-shape-to-text:t" inset="0,15pt,0,0">
                <w:txbxContent>
                  <w:p w14:paraId="4D52F22A" w14:textId="77E4B76D" w:rsidR="00931D71" w:rsidRPr="00931D71" w:rsidRDefault="00931D71" w:rsidP="00931D71">
                    <w:pPr>
                      <w:spacing w:after="0"/>
                      <w:rPr>
                        <w:rFonts w:ascii="Aptos" w:eastAsia="Aptos" w:hAnsi="Aptos" w:cs="Aptos"/>
                        <w:noProof/>
                        <w:color w:val="FF0000"/>
                        <w:sz w:val="24"/>
                      </w:rPr>
                    </w:pPr>
                  </w:p>
                </w:txbxContent>
              </v:textbox>
              <w10:wrap anchorx="page" anchory="page"/>
            </v:shape>
          </w:pict>
        </mc:Fallback>
      </mc:AlternateContent>
    </w:r>
    <w:r w:rsidR="00696A32">
      <w:rPr>
        <w:noProof/>
        <w:lang w:eastAsia="en-AU"/>
      </w:rPr>
      <w:drawing>
        <wp:inline distT="0" distB="0" distL="0" distR="0" wp14:anchorId="0B073610" wp14:editId="31CAA772">
          <wp:extent cx="3343275" cy="533400"/>
          <wp:effectExtent l="0" t="0" r="9525" b="0"/>
          <wp:docPr id="1207914144" name="Picture 1" descr="Australian Government Department of Health, Disability and Ageing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14144" name="Picture 1" descr="Australian Government Department of Health, Disability and Ageing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D6C141A"/>
    <w:multiLevelType w:val="hybridMultilevel"/>
    <w:tmpl w:val="E1540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363506"/>
    <w:multiLevelType w:val="hybridMultilevel"/>
    <w:tmpl w:val="9FEA7CEA"/>
    <w:lvl w:ilvl="0" w:tplc="B722292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CE4C73"/>
    <w:multiLevelType w:val="multilevel"/>
    <w:tmpl w:val="393E6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E35A91"/>
    <w:multiLevelType w:val="hybridMultilevel"/>
    <w:tmpl w:val="160AEE90"/>
    <w:lvl w:ilvl="0" w:tplc="B0728626">
      <w:start w:val="1"/>
      <w:numFmt w:val="bullet"/>
      <w:pStyle w:val="ListBullet"/>
      <w:lvlText w:val=""/>
      <w:lvlJc w:val="left"/>
      <w:pPr>
        <w:ind w:left="360" w:hanging="360"/>
      </w:pPr>
      <w:rPr>
        <w:rFonts w:ascii="Symbol" w:hAnsi="Symbol" w:hint="default"/>
        <w:color w:val="358189" w:themeColor="accent2"/>
        <w:spacing w:val="0"/>
        <w:w w:val="100"/>
        <w:sz w:val="24"/>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C93146"/>
    <w:multiLevelType w:val="multilevel"/>
    <w:tmpl w:val="F4888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2339F"/>
    <w:multiLevelType w:val="hybridMultilevel"/>
    <w:tmpl w:val="1F2AE7A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7"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8" w15:restartNumberingAfterBreak="0">
    <w:nsid w:val="42130F48"/>
    <w:multiLevelType w:val="multilevel"/>
    <w:tmpl w:val="CEEA6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20"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144784398">
    <w:abstractNumId w:val="7"/>
  </w:num>
  <w:num w:numId="2" w16cid:durableId="320935821">
    <w:abstractNumId w:val="21"/>
  </w:num>
  <w:num w:numId="3" w16cid:durableId="1161390217">
    <w:abstractNumId w:val="23"/>
  </w:num>
  <w:num w:numId="4" w16cid:durableId="1616522112">
    <w:abstractNumId w:val="8"/>
  </w:num>
  <w:num w:numId="5" w16cid:durableId="1326863177">
    <w:abstractNumId w:val="8"/>
    <w:lvlOverride w:ilvl="0">
      <w:startOverride w:val="1"/>
    </w:lvlOverride>
  </w:num>
  <w:num w:numId="6" w16cid:durableId="312683612">
    <w:abstractNumId w:val="9"/>
  </w:num>
  <w:num w:numId="7" w16cid:durableId="816721464">
    <w:abstractNumId w:val="19"/>
  </w:num>
  <w:num w:numId="8" w16cid:durableId="565603559">
    <w:abstractNumId w:val="22"/>
  </w:num>
  <w:num w:numId="9" w16cid:durableId="16275133">
    <w:abstractNumId w:val="5"/>
  </w:num>
  <w:num w:numId="10" w16cid:durableId="1845627467">
    <w:abstractNumId w:val="4"/>
  </w:num>
  <w:num w:numId="11" w16cid:durableId="612246186">
    <w:abstractNumId w:val="3"/>
  </w:num>
  <w:num w:numId="12" w16cid:durableId="1843860544">
    <w:abstractNumId w:val="2"/>
  </w:num>
  <w:num w:numId="13" w16cid:durableId="1116094120">
    <w:abstractNumId w:val="6"/>
  </w:num>
  <w:num w:numId="14" w16cid:durableId="230390797">
    <w:abstractNumId w:val="1"/>
  </w:num>
  <w:num w:numId="15" w16cid:durableId="1115446494">
    <w:abstractNumId w:val="0"/>
  </w:num>
  <w:num w:numId="16" w16cid:durableId="2086369406">
    <w:abstractNumId w:val="24"/>
  </w:num>
  <w:num w:numId="17" w16cid:durableId="2113471318">
    <w:abstractNumId w:val="11"/>
  </w:num>
  <w:num w:numId="18" w16cid:durableId="828592903">
    <w:abstractNumId w:val="14"/>
  </w:num>
  <w:num w:numId="19" w16cid:durableId="1273391997">
    <w:abstractNumId w:val="17"/>
  </w:num>
  <w:num w:numId="20" w16cid:durableId="2041469188">
    <w:abstractNumId w:val="11"/>
  </w:num>
  <w:num w:numId="21" w16cid:durableId="120997448">
    <w:abstractNumId w:val="17"/>
  </w:num>
  <w:num w:numId="22" w16cid:durableId="1088427743">
    <w:abstractNumId w:val="24"/>
  </w:num>
  <w:num w:numId="23" w16cid:durableId="111368400">
    <w:abstractNumId w:val="21"/>
  </w:num>
  <w:num w:numId="24" w16cid:durableId="815339056">
    <w:abstractNumId w:val="23"/>
  </w:num>
  <w:num w:numId="25" w16cid:durableId="743180995">
    <w:abstractNumId w:val="8"/>
  </w:num>
  <w:num w:numId="26" w16cid:durableId="320358050">
    <w:abstractNumId w:val="20"/>
  </w:num>
  <w:num w:numId="27" w16cid:durableId="508569404">
    <w:abstractNumId w:val="13"/>
  </w:num>
  <w:num w:numId="28" w16cid:durableId="1416364898">
    <w:abstractNumId w:val="16"/>
  </w:num>
  <w:num w:numId="29" w16cid:durableId="100344043">
    <w:abstractNumId w:val="10"/>
  </w:num>
  <w:num w:numId="30" w16cid:durableId="1575821124">
    <w:abstractNumId w:val="13"/>
  </w:num>
  <w:num w:numId="31" w16cid:durableId="41826948">
    <w:abstractNumId w:val="18"/>
  </w:num>
  <w:num w:numId="32" w16cid:durableId="1633438854">
    <w:abstractNumId w:val="13"/>
  </w:num>
  <w:num w:numId="33" w16cid:durableId="1567757797">
    <w:abstractNumId w:val="15"/>
  </w:num>
  <w:num w:numId="34" w16cid:durableId="365377218">
    <w:abstractNumId w:val="13"/>
  </w:num>
  <w:num w:numId="35" w16cid:durableId="62607931">
    <w:abstractNumId w:val="12"/>
  </w:num>
  <w:num w:numId="36" w16cid:durableId="16251912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168"/>
    <w:rsid w:val="00003743"/>
    <w:rsid w:val="000047B4"/>
    <w:rsid w:val="00005712"/>
    <w:rsid w:val="00007FD8"/>
    <w:rsid w:val="000117F8"/>
    <w:rsid w:val="0001460F"/>
    <w:rsid w:val="00022629"/>
    <w:rsid w:val="00024DFE"/>
    <w:rsid w:val="00026139"/>
    <w:rsid w:val="00027601"/>
    <w:rsid w:val="000307A7"/>
    <w:rsid w:val="00033321"/>
    <w:rsid w:val="000338E5"/>
    <w:rsid w:val="00033ECC"/>
    <w:rsid w:val="0003422F"/>
    <w:rsid w:val="00046FF0"/>
    <w:rsid w:val="00050176"/>
    <w:rsid w:val="00050342"/>
    <w:rsid w:val="00056A81"/>
    <w:rsid w:val="000607B2"/>
    <w:rsid w:val="00064168"/>
    <w:rsid w:val="00067456"/>
    <w:rsid w:val="00071506"/>
    <w:rsid w:val="0007154F"/>
    <w:rsid w:val="00080BAC"/>
    <w:rsid w:val="00081AB1"/>
    <w:rsid w:val="00090316"/>
    <w:rsid w:val="00093981"/>
    <w:rsid w:val="000B067A"/>
    <w:rsid w:val="000B1540"/>
    <w:rsid w:val="000B1E53"/>
    <w:rsid w:val="000B2849"/>
    <w:rsid w:val="000B33FD"/>
    <w:rsid w:val="000B4ABA"/>
    <w:rsid w:val="000B7029"/>
    <w:rsid w:val="000C0475"/>
    <w:rsid w:val="000C4B16"/>
    <w:rsid w:val="000C50C3"/>
    <w:rsid w:val="000C5E14"/>
    <w:rsid w:val="000D21F6"/>
    <w:rsid w:val="000D3EEC"/>
    <w:rsid w:val="000D4500"/>
    <w:rsid w:val="000D7AEA"/>
    <w:rsid w:val="000E1B92"/>
    <w:rsid w:val="000E2C66"/>
    <w:rsid w:val="000F123C"/>
    <w:rsid w:val="000F2FED"/>
    <w:rsid w:val="000F58FC"/>
    <w:rsid w:val="00103F67"/>
    <w:rsid w:val="0010616D"/>
    <w:rsid w:val="00110478"/>
    <w:rsid w:val="00111901"/>
    <w:rsid w:val="00112B3A"/>
    <w:rsid w:val="001132E3"/>
    <w:rsid w:val="0011711B"/>
    <w:rsid w:val="00117F8A"/>
    <w:rsid w:val="001210F8"/>
    <w:rsid w:val="00121B9B"/>
    <w:rsid w:val="00122ADC"/>
    <w:rsid w:val="001245EF"/>
    <w:rsid w:val="00124D65"/>
    <w:rsid w:val="00130F59"/>
    <w:rsid w:val="00133EC0"/>
    <w:rsid w:val="0013551E"/>
    <w:rsid w:val="00141CE5"/>
    <w:rsid w:val="001427CD"/>
    <w:rsid w:val="00143ADC"/>
    <w:rsid w:val="00144908"/>
    <w:rsid w:val="00156D96"/>
    <w:rsid w:val="001571C7"/>
    <w:rsid w:val="00161094"/>
    <w:rsid w:val="0017665C"/>
    <w:rsid w:val="0017709E"/>
    <w:rsid w:val="00177AD2"/>
    <w:rsid w:val="00180395"/>
    <w:rsid w:val="001815A8"/>
    <w:rsid w:val="001840FA"/>
    <w:rsid w:val="001873B1"/>
    <w:rsid w:val="00190079"/>
    <w:rsid w:val="0019622E"/>
    <w:rsid w:val="001966A7"/>
    <w:rsid w:val="0019761F"/>
    <w:rsid w:val="001A2646"/>
    <w:rsid w:val="001A4627"/>
    <w:rsid w:val="001A4979"/>
    <w:rsid w:val="001B15D3"/>
    <w:rsid w:val="001B3443"/>
    <w:rsid w:val="001C0326"/>
    <w:rsid w:val="001C192F"/>
    <w:rsid w:val="001C3276"/>
    <w:rsid w:val="001C3C42"/>
    <w:rsid w:val="001C62CC"/>
    <w:rsid w:val="001D7869"/>
    <w:rsid w:val="001F1576"/>
    <w:rsid w:val="001F38B4"/>
    <w:rsid w:val="001F3920"/>
    <w:rsid w:val="001F76C6"/>
    <w:rsid w:val="002026CD"/>
    <w:rsid w:val="002031B2"/>
    <w:rsid w:val="002033FC"/>
    <w:rsid w:val="002044BB"/>
    <w:rsid w:val="00210B09"/>
    <w:rsid w:val="00210C9E"/>
    <w:rsid w:val="00211840"/>
    <w:rsid w:val="00220E5F"/>
    <w:rsid w:val="002212B5"/>
    <w:rsid w:val="00226668"/>
    <w:rsid w:val="00233809"/>
    <w:rsid w:val="00237A42"/>
    <w:rsid w:val="00240046"/>
    <w:rsid w:val="00242D68"/>
    <w:rsid w:val="0024650C"/>
    <w:rsid w:val="0024797F"/>
    <w:rsid w:val="0025119E"/>
    <w:rsid w:val="00251269"/>
    <w:rsid w:val="002535C0"/>
    <w:rsid w:val="002579FE"/>
    <w:rsid w:val="00260552"/>
    <w:rsid w:val="00260A54"/>
    <w:rsid w:val="0026311C"/>
    <w:rsid w:val="0026668C"/>
    <w:rsid w:val="00266AC1"/>
    <w:rsid w:val="0027178C"/>
    <w:rsid w:val="00271954"/>
    <w:rsid w:val="002719FA"/>
    <w:rsid w:val="00272668"/>
    <w:rsid w:val="0027330B"/>
    <w:rsid w:val="00276CB4"/>
    <w:rsid w:val="002803AD"/>
    <w:rsid w:val="00282052"/>
    <w:rsid w:val="00282EAC"/>
    <w:rsid w:val="002831A3"/>
    <w:rsid w:val="0028519E"/>
    <w:rsid w:val="002856A5"/>
    <w:rsid w:val="002872ED"/>
    <w:rsid w:val="002905C2"/>
    <w:rsid w:val="00292535"/>
    <w:rsid w:val="00295AF2"/>
    <w:rsid w:val="00295C91"/>
    <w:rsid w:val="00297151"/>
    <w:rsid w:val="002A36A5"/>
    <w:rsid w:val="002B1B52"/>
    <w:rsid w:val="002B20E6"/>
    <w:rsid w:val="002B42A3"/>
    <w:rsid w:val="002C0CDD"/>
    <w:rsid w:val="002C38C4"/>
    <w:rsid w:val="002C46AA"/>
    <w:rsid w:val="002D65A2"/>
    <w:rsid w:val="002E1A1D"/>
    <w:rsid w:val="002E4081"/>
    <w:rsid w:val="002E5B78"/>
    <w:rsid w:val="002F3AE3"/>
    <w:rsid w:val="0030464B"/>
    <w:rsid w:val="0030786C"/>
    <w:rsid w:val="00317B29"/>
    <w:rsid w:val="003233DE"/>
    <w:rsid w:val="0032466B"/>
    <w:rsid w:val="00327859"/>
    <w:rsid w:val="003330EB"/>
    <w:rsid w:val="00333C73"/>
    <w:rsid w:val="003415FD"/>
    <w:rsid w:val="003429F0"/>
    <w:rsid w:val="00345A82"/>
    <w:rsid w:val="0035097A"/>
    <w:rsid w:val="00353C8E"/>
    <w:rsid w:val="003540A4"/>
    <w:rsid w:val="00357BCC"/>
    <w:rsid w:val="00360E4E"/>
    <w:rsid w:val="00361A76"/>
    <w:rsid w:val="00370AAA"/>
    <w:rsid w:val="00373602"/>
    <w:rsid w:val="00375F77"/>
    <w:rsid w:val="00381BBE"/>
    <w:rsid w:val="00382903"/>
    <w:rsid w:val="003832F8"/>
    <w:rsid w:val="003846FF"/>
    <w:rsid w:val="003857D4"/>
    <w:rsid w:val="00385AD4"/>
    <w:rsid w:val="00385C01"/>
    <w:rsid w:val="00387924"/>
    <w:rsid w:val="0039225C"/>
    <w:rsid w:val="0039384D"/>
    <w:rsid w:val="00395C23"/>
    <w:rsid w:val="003A2E4F"/>
    <w:rsid w:val="003A4438"/>
    <w:rsid w:val="003A5013"/>
    <w:rsid w:val="003A5078"/>
    <w:rsid w:val="003A62DD"/>
    <w:rsid w:val="003A65EA"/>
    <w:rsid w:val="003A67A8"/>
    <w:rsid w:val="003A775A"/>
    <w:rsid w:val="003B213A"/>
    <w:rsid w:val="003B2E5D"/>
    <w:rsid w:val="003B43AD"/>
    <w:rsid w:val="003C0FEC"/>
    <w:rsid w:val="003C2AC8"/>
    <w:rsid w:val="003D033A"/>
    <w:rsid w:val="003D17F9"/>
    <w:rsid w:val="003D2D88"/>
    <w:rsid w:val="003D419D"/>
    <w:rsid w:val="003D41EA"/>
    <w:rsid w:val="003D4850"/>
    <w:rsid w:val="003D535A"/>
    <w:rsid w:val="003D7877"/>
    <w:rsid w:val="003D7B09"/>
    <w:rsid w:val="003E5265"/>
    <w:rsid w:val="003F08F4"/>
    <w:rsid w:val="003F0955"/>
    <w:rsid w:val="003F0F91"/>
    <w:rsid w:val="003F5F4D"/>
    <w:rsid w:val="003F646F"/>
    <w:rsid w:val="00400F00"/>
    <w:rsid w:val="00404F8B"/>
    <w:rsid w:val="00405256"/>
    <w:rsid w:val="00405ADD"/>
    <w:rsid w:val="004060B7"/>
    <w:rsid w:val="00410031"/>
    <w:rsid w:val="00415C81"/>
    <w:rsid w:val="00432378"/>
    <w:rsid w:val="0043738D"/>
    <w:rsid w:val="0044019D"/>
    <w:rsid w:val="00440D65"/>
    <w:rsid w:val="00442EFF"/>
    <w:rsid w:val="0044308D"/>
    <w:rsid w:val="004435E6"/>
    <w:rsid w:val="004437A6"/>
    <w:rsid w:val="00447E31"/>
    <w:rsid w:val="00453923"/>
    <w:rsid w:val="00454B9B"/>
    <w:rsid w:val="00457858"/>
    <w:rsid w:val="00460B0B"/>
    <w:rsid w:val="00461023"/>
    <w:rsid w:val="00462FAC"/>
    <w:rsid w:val="00464631"/>
    <w:rsid w:val="00464B79"/>
    <w:rsid w:val="0046644F"/>
    <w:rsid w:val="00467BBF"/>
    <w:rsid w:val="0048593C"/>
    <w:rsid w:val="004867E2"/>
    <w:rsid w:val="00490FFF"/>
    <w:rsid w:val="004929A9"/>
    <w:rsid w:val="0049304B"/>
    <w:rsid w:val="004A58E5"/>
    <w:rsid w:val="004A78D9"/>
    <w:rsid w:val="004C1BCD"/>
    <w:rsid w:val="004C6BCF"/>
    <w:rsid w:val="004D58BF"/>
    <w:rsid w:val="004D5E3F"/>
    <w:rsid w:val="004E293A"/>
    <w:rsid w:val="004E4335"/>
    <w:rsid w:val="004E5226"/>
    <w:rsid w:val="004F13EE"/>
    <w:rsid w:val="004F2022"/>
    <w:rsid w:val="004F7C05"/>
    <w:rsid w:val="00500B50"/>
    <w:rsid w:val="00501C94"/>
    <w:rsid w:val="00506432"/>
    <w:rsid w:val="00506E82"/>
    <w:rsid w:val="0052051D"/>
    <w:rsid w:val="00525479"/>
    <w:rsid w:val="00527F50"/>
    <w:rsid w:val="00545EE6"/>
    <w:rsid w:val="005550E7"/>
    <w:rsid w:val="005564FB"/>
    <w:rsid w:val="0055706A"/>
    <w:rsid w:val="005572C7"/>
    <w:rsid w:val="00564721"/>
    <w:rsid w:val="005650ED"/>
    <w:rsid w:val="00566B81"/>
    <w:rsid w:val="00575754"/>
    <w:rsid w:val="00581FBA"/>
    <w:rsid w:val="005858A4"/>
    <w:rsid w:val="00591E20"/>
    <w:rsid w:val="005920E7"/>
    <w:rsid w:val="00595408"/>
    <w:rsid w:val="00595E84"/>
    <w:rsid w:val="0059610A"/>
    <w:rsid w:val="005A0C59"/>
    <w:rsid w:val="005A48EB"/>
    <w:rsid w:val="005A6CFB"/>
    <w:rsid w:val="005C4B3E"/>
    <w:rsid w:val="005C5AEB"/>
    <w:rsid w:val="005D5F4E"/>
    <w:rsid w:val="005E0A3F"/>
    <w:rsid w:val="005E1AF9"/>
    <w:rsid w:val="005E2D76"/>
    <w:rsid w:val="005E659D"/>
    <w:rsid w:val="005E6883"/>
    <w:rsid w:val="005E772F"/>
    <w:rsid w:val="005F4ECA"/>
    <w:rsid w:val="005F61CC"/>
    <w:rsid w:val="006041BE"/>
    <w:rsid w:val="006043C7"/>
    <w:rsid w:val="00624B52"/>
    <w:rsid w:val="00625439"/>
    <w:rsid w:val="00630794"/>
    <w:rsid w:val="00631DF4"/>
    <w:rsid w:val="00634175"/>
    <w:rsid w:val="0063574E"/>
    <w:rsid w:val="006408AC"/>
    <w:rsid w:val="00642F20"/>
    <w:rsid w:val="006511B6"/>
    <w:rsid w:val="00657FF8"/>
    <w:rsid w:val="0066598A"/>
    <w:rsid w:val="00670D99"/>
    <w:rsid w:val="00670E2B"/>
    <w:rsid w:val="006734BB"/>
    <w:rsid w:val="00674EF1"/>
    <w:rsid w:val="0067697A"/>
    <w:rsid w:val="006821EB"/>
    <w:rsid w:val="00693A51"/>
    <w:rsid w:val="006952BF"/>
    <w:rsid w:val="00696A32"/>
    <w:rsid w:val="006A578F"/>
    <w:rsid w:val="006B2286"/>
    <w:rsid w:val="006B56BB"/>
    <w:rsid w:val="006B7B26"/>
    <w:rsid w:val="006C085B"/>
    <w:rsid w:val="006C0AE2"/>
    <w:rsid w:val="006C77A8"/>
    <w:rsid w:val="006D22A7"/>
    <w:rsid w:val="006D4098"/>
    <w:rsid w:val="006D67F4"/>
    <w:rsid w:val="006D7681"/>
    <w:rsid w:val="006D7B2E"/>
    <w:rsid w:val="006E02EA"/>
    <w:rsid w:val="006E0968"/>
    <w:rsid w:val="006E2AF6"/>
    <w:rsid w:val="006F1107"/>
    <w:rsid w:val="006F5073"/>
    <w:rsid w:val="006F67A9"/>
    <w:rsid w:val="006F7C2B"/>
    <w:rsid w:val="00701275"/>
    <w:rsid w:val="007017C8"/>
    <w:rsid w:val="00703146"/>
    <w:rsid w:val="00707F56"/>
    <w:rsid w:val="00710CBC"/>
    <w:rsid w:val="00713558"/>
    <w:rsid w:val="00720D08"/>
    <w:rsid w:val="007263B9"/>
    <w:rsid w:val="007334F8"/>
    <w:rsid w:val="007339CD"/>
    <w:rsid w:val="007359D8"/>
    <w:rsid w:val="007362D4"/>
    <w:rsid w:val="00741AC2"/>
    <w:rsid w:val="00744B30"/>
    <w:rsid w:val="00746C16"/>
    <w:rsid w:val="0076672A"/>
    <w:rsid w:val="00775E45"/>
    <w:rsid w:val="00776E74"/>
    <w:rsid w:val="00785169"/>
    <w:rsid w:val="007954AB"/>
    <w:rsid w:val="007956C1"/>
    <w:rsid w:val="007A14C5"/>
    <w:rsid w:val="007A4A10"/>
    <w:rsid w:val="007B1750"/>
    <w:rsid w:val="007B1760"/>
    <w:rsid w:val="007C1FDC"/>
    <w:rsid w:val="007C31DD"/>
    <w:rsid w:val="007C32D9"/>
    <w:rsid w:val="007C343D"/>
    <w:rsid w:val="007C3546"/>
    <w:rsid w:val="007C6D9C"/>
    <w:rsid w:val="007C7DDB"/>
    <w:rsid w:val="007D2CC7"/>
    <w:rsid w:val="007D673D"/>
    <w:rsid w:val="007E0068"/>
    <w:rsid w:val="007E0FB8"/>
    <w:rsid w:val="007E4D09"/>
    <w:rsid w:val="007F2220"/>
    <w:rsid w:val="007F4B3E"/>
    <w:rsid w:val="008127AF"/>
    <w:rsid w:val="00812B46"/>
    <w:rsid w:val="00815700"/>
    <w:rsid w:val="00821974"/>
    <w:rsid w:val="0082246B"/>
    <w:rsid w:val="008264EB"/>
    <w:rsid w:val="00826B8F"/>
    <w:rsid w:val="00830F97"/>
    <w:rsid w:val="00831E8A"/>
    <w:rsid w:val="0083595B"/>
    <w:rsid w:val="00835C76"/>
    <w:rsid w:val="008376E2"/>
    <w:rsid w:val="00843049"/>
    <w:rsid w:val="008437CA"/>
    <w:rsid w:val="00850A9F"/>
    <w:rsid w:val="0085209B"/>
    <w:rsid w:val="00856B66"/>
    <w:rsid w:val="008601AC"/>
    <w:rsid w:val="00861A5F"/>
    <w:rsid w:val="008644AD"/>
    <w:rsid w:val="00865735"/>
    <w:rsid w:val="0086588E"/>
    <w:rsid w:val="00865DDB"/>
    <w:rsid w:val="00867538"/>
    <w:rsid w:val="00873D90"/>
    <w:rsid w:val="00873FC8"/>
    <w:rsid w:val="00883A16"/>
    <w:rsid w:val="00884C63"/>
    <w:rsid w:val="00885908"/>
    <w:rsid w:val="008864B7"/>
    <w:rsid w:val="0089677E"/>
    <w:rsid w:val="008A7438"/>
    <w:rsid w:val="008B1334"/>
    <w:rsid w:val="008B25C7"/>
    <w:rsid w:val="008B38CB"/>
    <w:rsid w:val="008C0278"/>
    <w:rsid w:val="008C24E9"/>
    <w:rsid w:val="008C5FE4"/>
    <w:rsid w:val="008D0533"/>
    <w:rsid w:val="008D42CB"/>
    <w:rsid w:val="008D48C9"/>
    <w:rsid w:val="008D6381"/>
    <w:rsid w:val="008E007D"/>
    <w:rsid w:val="008E0C77"/>
    <w:rsid w:val="008E12CB"/>
    <w:rsid w:val="008E625F"/>
    <w:rsid w:val="008F264D"/>
    <w:rsid w:val="009040E9"/>
    <w:rsid w:val="00904DB2"/>
    <w:rsid w:val="009074E1"/>
    <w:rsid w:val="00910C3F"/>
    <w:rsid w:val="009112F7"/>
    <w:rsid w:val="009122AF"/>
    <w:rsid w:val="00912D54"/>
    <w:rsid w:val="0091389F"/>
    <w:rsid w:val="009208F7"/>
    <w:rsid w:val="00920EB4"/>
    <w:rsid w:val="00921649"/>
    <w:rsid w:val="00922517"/>
    <w:rsid w:val="00922722"/>
    <w:rsid w:val="00925A51"/>
    <w:rsid w:val="009261E6"/>
    <w:rsid w:val="009268E1"/>
    <w:rsid w:val="009271EE"/>
    <w:rsid w:val="00931D71"/>
    <w:rsid w:val="0093226A"/>
    <w:rsid w:val="009344AE"/>
    <w:rsid w:val="009344DE"/>
    <w:rsid w:val="00945E7F"/>
    <w:rsid w:val="009518C7"/>
    <w:rsid w:val="009557C1"/>
    <w:rsid w:val="00960D6E"/>
    <w:rsid w:val="00974B59"/>
    <w:rsid w:val="0098166B"/>
    <w:rsid w:val="0098340B"/>
    <w:rsid w:val="00986830"/>
    <w:rsid w:val="009924C3"/>
    <w:rsid w:val="00993102"/>
    <w:rsid w:val="009973F7"/>
    <w:rsid w:val="009B1570"/>
    <w:rsid w:val="009C6F10"/>
    <w:rsid w:val="009D148F"/>
    <w:rsid w:val="009D3D70"/>
    <w:rsid w:val="009E6F7E"/>
    <w:rsid w:val="009E7A57"/>
    <w:rsid w:val="009F4803"/>
    <w:rsid w:val="009F4F6A"/>
    <w:rsid w:val="009F5046"/>
    <w:rsid w:val="00A13EB5"/>
    <w:rsid w:val="00A16E36"/>
    <w:rsid w:val="00A23012"/>
    <w:rsid w:val="00A24961"/>
    <w:rsid w:val="00A24B10"/>
    <w:rsid w:val="00A277EF"/>
    <w:rsid w:val="00A30E9B"/>
    <w:rsid w:val="00A34BD0"/>
    <w:rsid w:val="00A4512D"/>
    <w:rsid w:val="00A50244"/>
    <w:rsid w:val="00A627D7"/>
    <w:rsid w:val="00A64468"/>
    <w:rsid w:val="00A656C7"/>
    <w:rsid w:val="00A705AF"/>
    <w:rsid w:val="00A719F6"/>
    <w:rsid w:val="00A72454"/>
    <w:rsid w:val="00A75342"/>
    <w:rsid w:val="00A77696"/>
    <w:rsid w:val="00A80557"/>
    <w:rsid w:val="00A81D33"/>
    <w:rsid w:val="00A8341C"/>
    <w:rsid w:val="00A8695F"/>
    <w:rsid w:val="00A930AE"/>
    <w:rsid w:val="00AA1A95"/>
    <w:rsid w:val="00AA260F"/>
    <w:rsid w:val="00AB0705"/>
    <w:rsid w:val="00AB1EE7"/>
    <w:rsid w:val="00AB2B2E"/>
    <w:rsid w:val="00AB3FDE"/>
    <w:rsid w:val="00AB4B37"/>
    <w:rsid w:val="00AB5762"/>
    <w:rsid w:val="00AC2679"/>
    <w:rsid w:val="00AC4432"/>
    <w:rsid w:val="00AC4BE4"/>
    <w:rsid w:val="00AC6513"/>
    <w:rsid w:val="00AD05E6"/>
    <w:rsid w:val="00AD0D3F"/>
    <w:rsid w:val="00AE1D7D"/>
    <w:rsid w:val="00AE2A8B"/>
    <w:rsid w:val="00AE2FEC"/>
    <w:rsid w:val="00AE3F64"/>
    <w:rsid w:val="00AF2A34"/>
    <w:rsid w:val="00AF7386"/>
    <w:rsid w:val="00AF7934"/>
    <w:rsid w:val="00B00B81"/>
    <w:rsid w:val="00B04580"/>
    <w:rsid w:val="00B04B09"/>
    <w:rsid w:val="00B16A51"/>
    <w:rsid w:val="00B27A99"/>
    <w:rsid w:val="00B32222"/>
    <w:rsid w:val="00B32567"/>
    <w:rsid w:val="00B3618D"/>
    <w:rsid w:val="00B36233"/>
    <w:rsid w:val="00B42851"/>
    <w:rsid w:val="00B42D06"/>
    <w:rsid w:val="00B45350"/>
    <w:rsid w:val="00B45AC7"/>
    <w:rsid w:val="00B51147"/>
    <w:rsid w:val="00B5372F"/>
    <w:rsid w:val="00B53987"/>
    <w:rsid w:val="00B61129"/>
    <w:rsid w:val="00B67E7F"/>
    <w:rsid w:val="00B76DB3"/>
    <w:rsid w:val="00B839B2"/>
    <w:rsid w:val="00B873A0"/>
    <w:rsid w:val="00B94252"/>
    <w:rsid w:val="00B9715A"/>
    <w:rsid w:val="00BA14BE"/>
    <w:rsid w:val="00BA25D5"/>
    <w:rsid w:val="00BA2732"/>
    <w:rsid w:val="00BA293D"/>
    <w:rsid w:val="00BA49BC"/>
    <w:rsid w:val="00BA56B7"/>
    <w:rsid w:val="00BA7A1E"/>
    <w:rsid w:val="00BB2F6C"/>
    <w:rsid w:val="00BB3875"/>
    <w:rsid w:val="00BB5860"/>
    <w:rsid w:val="00BB6AAD"/>
    <w:rsid w:val="00BC4A19"/>
    <w:rsid w:val="00BC4E6D"/>
    <w:rsid w:val="00BD0617"/>
    <w:rsid w:val="00BD0A9E"/>
    <w:rsid w:val="00BD1D77"/>
    <w:rsid w:val="00BD2E9B"/>
    <w:rsid w:val="00BD50C6"/>
    <w:rsid w:val="00BD7FB2"/>
    <w:rsid w:val="00BE3ED5"/>
    <w:rsid w:val="00BE42C7"/>
    <w:rsid w:val="00BF6BB3"/>
    <w:rsid w:val="00C00930"/>
    <w:rsid w:val="00C02732"/>
    <w:rsid w:val="00C060AD"/>
    <w:rsid w:val="00C113BF"/>
    <w:rsid w:val="00C1281F"/>
    <w:rsid w:val="00C12CED"/>
    <w:rsid w:val="00C2176E"/>
    <w:rsid w:val="00C23430"/>
    <w:rsid w:val="00C27D67"/>
    <w:rsid w:val="00C40A0E"/>
    <w:rsid w:val="00C435AF"/>
    <w:rsid w:val="00C4631F"/>
    <w:rsid w:val="00C47CDE"/>
    <w:rsid w:val="00C50E16"/>
    <w:rsid w:val="00C55258"/>
    <w:rsid w:val="00C55AEB"/>
    <w:rsid w:val="00C702EB"/>
    <w:rsid w:val="00C71A8A"/>
    <w:rsid w:val="00C75FA3"/>
    <w:rsid w:val="00C82EEB"/>
    <w:rsid w:val="00C971DC"/>
    <w:rsid w:val="00CA16B7"/>
    <w:rsid w:val="00CA62AE"/>
    <w:rsid w:val="00CB03B8"/>
    <w:rsid w:val="00CB49DD"/>
    <w:rsid w:val="00CB5B1A"/>
    <w:rsid w:val="00CC2118"/>
    <w:rsid w:val="00CC220B"/>
    <w:rsid w:val="00CC5C43"/>
    <w:rsid w:val="00CD02AE"/>
    <w:rsid w:val="00CD21E2"/>
    <w:rsid w:val="00CD2A4F"/>
    <w:rsid w:val="00CD41E4"/>
    <w:rsid w:val="00CE03CA"/>
    <w:rsid w:val="00CE22F1"/>
    <w:rsid w:val="00CE50F2"/>
    <w:rsid w:val="00CE6502"/>
    <w:rsid w:val="00CF1633"/>
    <w:rsid w:val="00CF7D3C"/>
    <w:rsid w:val="00D01279"/>
    <w:rsid w:val="00D01F09"/>
    <w:rsid w:val="00D03527"/>
    <w:rsid w:val="00D147EB"/>
    <w:rsid w:val="00D20254"/>
    <w:rsid w:val="00D27E71"/>
    <w:rsid w:val="00D33278"/>
    <w:rsid w:val="00D34667"/>
    <w:rsid w:val="00D401E1"/>
    <w:rsid w:val="00D408B4"/>
    <w:rsid w:val="00D44330"/>
    <w:rsid w:val="00D524C8"/>
    <w:rsid w:val="00D70E24"/>
    <w:rsid w:val="00D72B61"/>
    <w:rsid w:val="00D778DC"/>
    <w:rsid w:val="00DA3D1D"/>
    <w:rsid w:val="00DB6286"/>
    <w:rsid w:val="00DB645F"/>
    <w:rsid w:val="00DB76E9"/>
    <w:rsid w:val="00DC0A67"/>
    <w:rsid w:val="00DC1D5E"/>
    <w:rsid w:val="00DC2498"/>
    <w:rsid w:val="00DC5220"/>
    <w:rsid w:val="00DD2061"/>
    <w:rsid w:val="00DD31B6"/>
    <w:rsid w:val="00DD7DAB"/>
    <w:rsid w:val="00DE3355"/>
    <w:rsid w:val="00DF0C60"/>
    <w:rsid w:val="00DF486F"/>
    <w:rsid w:val="00DF5B5B"/>
    <w:rsid w:val="00DF7619"/>
    <w:rsid w:val="00E010E4"/>
    <w:rsid w:val="00E042D8"/>
    <w:rsid w:val="00E07EE7"/>
    <w:rsid w:val="00E1103B"/>
    <w:rsid w:val="00E13238"/>
    <w:rsid w:val="00E17B44"/>
    <w:rsid w:val="00E17B48"/>
    <w:rsid w:val="00E20F27"/>
    <w:rsid w:val="00E215AA"/>
    <w:rsid w:val="00E22443"/>
    <w:rsid w:val="00E22ABC"/>
    <w:rsid w:val="00E25B1F"/>
    <w:rsid w:val="00E27FEA"/>
    <w:rsid w:val="00E33511"/>
    <w:rsid w:val="00E35B07"/>
    <w:rsid w:val="00E37C62"/>
    <w:rsid w:val="00E4086F"/>
    <w:rsid w:val="00E416BD"/>
    <w:rsid w:val="00E43B3C"/>
    <w:rsid w:val="00E46CF6"/>
    <w:rsid w:val="00E50188"/>
    <w:rsid w:val="00E50BB3"/>
    <w:rsid w:val="00E515CB"/>
    <w:rsid w:val="00E52260"/>
    <w:rsid w:val="00E538AE"/>
    <w:rsid w:val="00E639B6"/>
    <w:rsid w:val="00E6434B"/>
    <w:rsid w:val="00E6463D"/>
    <w:rsid w:val="00E71492"/>
    <w:rsid w:val="00E72E9B"/>
    <w:rsid w:val="00E850C3"/>
    <w:rsid w:val="00E87DF2"/>
    <w:rsid w:val="00E90371"/>
    <w:rsid w:val="00E91536"/>
    <w:rsid w:val="00E91576"/>
    <w:rsid w:val="00E9462E"/>
    <w:rsid w:val="00E97C63"/>
    <w:rsid w:val="00EA346E"/>
    <w:rsid w:val="00EA470E"/>
    <w:rsid w:val="00EA47A7"/>
    <w:rsid w:val="00EA57EB"/>
    <w:rsid w:val="00EB3226"/>
    <w:rsid w:val="00EC1BB1"/>
    <w:rsid w:val="00EC213A"/>
    <w:rsid w:val="00EC6B55"/>
    <w:rsid w:val="00EC7744"/>
    <w:rsid w:val="00ED0DAD"/>
    <w:rsid w:val="00ED0F46"/>
    <w:rsid w:val="00ED1E83"/>
    <w:rsid w:val="00ED2373"/>
    <w:rsid w:val="00ED24F9"/>
    <w:rsid w:val="00ED2E38"/>
    <w:rsid w:val="00ED389A"/>
    <w:rsid w:val="00EE3E8A"/>
    <w:rsid w:val="00EF58B8"/>
    <w:rsid w:val="00EF6ECA"/>
    <w:rsid w:val="00F01605"/>
    <w:rsid w:val="00F024E1"/>
    <w:rsid w:val="00F06C10"/>
    <w:rsid w:val="00F1096F"/>
    <w:rsid w:val="00F12589"/>
    <w:rsid w:val="00F12595"/>
    <w:rsid w:val="00F134D9"/>
    <w:rsid w:val="00F1403D"/>
    <w:rsid w:val="00F1463F"/>
    <w:rsid w:val="00F14EA0"/>
    <w:rsid w:val="00F17289"/>
    <w:rsid w:val="00F21302"/>
    <w:rsid w:val="00F2430D"/>
    <w:rsid w:val="00F321DE"/>
    <w:rsid w:val="00F33777"/>
    <w:rsid w:val="00F40648"/>
    <w:rsid w:val="00F47DA2"/>
    <w:rsid w:val="00F51321"/>
    <w:rsid w:val="00F519FC"/>
    <w:rsid w:val="00F6239D"/>
    <w:rsid w:val="00F715D2"/>
    <w:rsid w:val="00F7274F"/>
    <w:rsid w:val="00F74E84"/>
    <w:rsid w:val="00F7615B"/>
    <w:rsid w:val="00F76ED3"/>
    <w:rsid w:val="00F76FA8"/>
    <w:rsid w:val="00F85AFE"/>
    <w:rsid w:val="00F93F08"/>
    <w:rsid w:val="00F94CED"/>
    <w:rsid w:val="00F9724A"/>
    <w:rsid w:val="00FA02BB"/>
    <w:rsid w:val="00FA2CEE"/>
    <w:rsid w:val="00FA318C"/>
    <w:rsid w:val="00FB3661"/>
    <w:rsid w:val="00FB6452"/>
    <w:rsid w:val="00FB6F92"/>
    <w:rsid w:val="00FC026E"/>
    <w:rsid w:val="00FC5124"/>
    <w:rsid w:val="00FD0155"/>
    <w:rsid w:val="00FD3AC2"/>
    <w:rsid w:val="00FD4731"/>
    <w:rsid w:val="00FD6768"/>
    <w:rsid w:val="00FE00E0"/>
    <w:rsid w:val="00FF0AB0"/>
    <w:rsid w:val="00FF28AC"/>
    <w:rsid w:val="00FF777D"/>
    <w:rsid w:val="00FF7F62"/>
    <w:rsid w:val="06D43151"/>
    <w:rsid w:val="1ECE4356"/>
    <w:rsid w:val="37A8CB26"/>
    <w:rsid w:val="6E351CC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F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719F6"/>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uiPriority w:val="9"/>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uiPriority w:val="22"/>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22"/>
      </w:numPr>
    </w:pPr>
  </w:style>
  <w:style w:type="paragraph" w:styleId="ListNumber2">
    <w:name w:val="List Number 2"/>
    <w:basedOn w:val="ListBullet"/>
    <w:qFormat/>
    <w:rsid w:val="00A719F6"/>
    <w:pPr>
      <w:numPr>
        <w:numId w:val="21"/>
      </w:numPr>
    </w:pPr>
  </w:style>
  <w:style w:type="paragraph" w:styleId="ListBullet">
    <w:name w:val="List Bullet"/>
    <w:basedOn w:val="Normal"/>
    <w:qFormat/>
    <w:rsid w:val="006F5073"/>
    <w:pPr>
      <w:numPr>
        <w:numId w:val="27"/>
      </w:numPr>
      <w:spacing w:before="0" w:after="60" w:line="280" w:lineRule="exact"/>
    </w:pPr>
    <w:rPr>
      <w:szCs w:val="22"/>
    </w:rPr>
  </w:style>
  <w:style w:type="table" w:styleId="GridTable4-Accent2">
    <w:name w:val="Grid Table 4 Accent 2"/>
    <w:basedOn w:val="TableNormal"/>
    <w:uiPriority w:val="49"/>
    <w:rsid w:val="00BE3ED5"/>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insideV w:val="single" w:sz="4" w:space="0" w:color="74C1C9" w:themeColor="accent2" w:themeTint="99"/>
      </w:tblBorders>
    </w:tblPr>
    <w:tblStylePr w:type="firstRow">
      <w:rPr>
        <w:b/>
        <w:bCs/>
        <w:color w:val="FFFFFF" w:themeColor="background1"/>
      </w:rPr>
      <w:tblPr/>
      <w:tcPr>
        <w:tcBorders>
          <w:top w:val="single" w:sz="4" w:space="0" w:color="358189" w:themeColor="accent2"/>
          <w:left w:val="single" w:sz="4" w:space="0" w:color="358189" w:themeColor="accent2"/>
          <w:bottom w:val="single" w:sz="4" w:space="0" w:color="358189" w:themeColor="accent2"/>
          <w:right w:val="single" w:sz="4" w:space="0" w:color="358189" w:themeColor="accent2"/>
          <w:insideH w:val="nil"/>
          <w:insideV w:val="nil"/>
        </w:tcBorders>
        <w:shd w:val="clear" w:color="auto" w:fill="358189" w:themeFill="accent2"/>
      </w:tcPr>
    </w:tblStylePr>
    <w:tblStylePr w:type="lastRow">
      <w:rPr>
        <w:b/>
        <w:bCs/>
      </w:rPr>
      <w:tblPr/>
      <w:tcPr>
        <w:tcBorders>
          <w:top w:val="double" w:sz="4" w:space="0" w:color="358189" w:themeColor="accent2"/>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paragraph" w:styleId="ListNumber3">
    <w:name w:val="List Number 3"/>
    <w:aliases w:val="List Third Level"/>
    <w:basedOn w:val="ListNumber2"/>
    <w:rsid w:val="00A719F6"/>
    <w:pPr>
      <w:numPr>
        <w:numId w:val="23"/>
      </w:numPr>
      <w:tabs>
        <w:tab w:val="num" w:pos="1440"/>
      </w:tabs>
    </w:pPr>
    <w:rPr>
      <w:rFonts w:eastAsia="Cambria"/>
      <w:color w:val="auto"/>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642F20"/>
    <w:pPr>
      <w:spacing w:before="60" w:after="60"/>
    </w:pPr>
    <w:rPr>
      <w:rFonts w:ascii="Arial" w:hAnsi="Arial"/>
      <w:b/>
      <w:color w:val="000000" w:themeColor="text1"/>
      <w:sz w:val="22"/>
      <w:szCs w:val="22"/>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customStyle="1" w:styleId="Heading2Char">
    <w:name w:val="Heading 2 Char"/>
    <w:basedOn w:val="DefaultParagraphFont"/>
    <w:link w:val="Heading2"/>
    <w:uiPriority w:val="9"/>
    <w:rsid w:val="00064168"/>
    <w:rPr>
      <w:rFonts w:ascii="Arial" w:hAnsi="Arial" w:cs="Arial"/>
      <w:b/>
      <w:bCs/>
      <w:iCs/>
      <w:color w:val="358189"/>
      <w:sz w:val="36"/>
      <w:szCs w:val="28"/>
      <w:lang w:eastAsia="en-US"/>
    </w:rPr>
  </w:style>
  <w:style w:type="paragraph" w:styleId="CommentText">
    <w:name w:val="annotation text"/>
    <w:basedOn w:val="Normal"/>
    <w:link w:val="CommentTextChar"/>
    <w:uiPriority w:val="99"/>
    <w:unhideWhenUsed/>
    <w:rsid w:val="00064168"/>
    <w:pPr>
      <w:spacing w:before="0" w:after="160" w:line="240" w:lineRule="auto"/>
    </w:pPr>
    <w:rPr>
      <w:rFonts w:eastAsiaTheme="minorEastAsia" w:cstheme="minorBidi"/>
      <w:color w:val="auto"/>
      <w:sz w:val="20"/>
      <w:szCs w:val="20"/>
    </w:rPr>
  </w:style>
  <w:style w:type="character" w:customStyle="1" w:styleId="CommentTextChar">
    <w:name w:val="Comment Text Char"/>
    <w:basedOn w:val="DefaultParagraphFont"/>
    <w:link w:val="CommentText"/>
    <w:uiPriority w:val="99"/>
    <w:rsid w:val="00064168"/>
    <w:rPr>
      <w:rFonts w:ascii="Arial" w:eastAsiaTheme="minorEastAsia" w:hAnsi="Arial" w:cstheme="minorBidi"/>
      <w:lang w:eastAsia="en-US"/>
    </w:rPr>
  </w:style>
  <w:style w:type="paragraph" w:customStyle="1" w:styleId="Disclaimer">
    <w:name w:val="Disclaimer"/>
    <w:basedOn w:val="Normal"/>
    <w:uiPriority w:val="10"/>
    <w:qFormat/>
    <w:rsid w:val="00080BAC"/>
    <w:pPr>
      <w:pBdr>
        <w:top w:val="single" w:sz="12" w:space="1" w:color="358189" w:themeColor="accent2"/>
        <w:bottom w:val="single" w:sz="12" w:space="1" w:color="358189" w:themeColor="accent2"/>
      </w:pBdr>
      <w:shd w:val="clear" w:color="auto" w:fill="D0EAED" w:themeFill="accent2" w:themeFillTint="33"/>
      <w:spacing w:before="0" w:after="160" w:line="280" w:lineRule="exact"/>
      <w:ind w:left="567" w:right="1394"/>
    </w:pPr>
    <w:rPr>
      <w:rFonts w:eastAsiaTheme="minorEastAsia" w:cstheme="minorBidi"/>
      <w:b/>
      <w:color w:val="auto"/>
      <w:sz w:val="16"/>
      <w:szCs w:val="16"/>
    </w:rPr>
  </w:style>
  <w:style w:type="character" w:styleId="BookTitle">
    <w:name w:val="Book Title"/>
    <w:aliases w:val="Description"/>
    <w:basedOn w:val="DefaultParagraphFont"/>
    <w:uiPriority w:val="33"/>
    <w:rsid w:val="00064168"/>
    <w:rPr>
      <w:rFonts w:asciiTheme="minorHAnsi" w:hAnsiTheme="minorHAnsi"/>
      <w:b/>
      <w:bCs/>
      <w:i/>
      <w:iCs/>
      <w:spacing w:val="5"/>
      <w:sz w:val="22"/>
    </w:rPr>
  </w:style>
  <w:style w:type="character" w:styleId="UnresolvedMention">
    <w:name w:val="Unresolved Mention"/>
    <w:basedOn w:val="DefaultParagraphFont"/>
    <w:uiPriority w:val="99"/>
    <w:semiHidden/>
    <w:unhideWhenUsed/>
    <w:rsid w:val="001245EF"/>
    <w:rPr>
      <w:color w:val="605E5C"/>
      <w:shd w:val="clear" w:color="auto" w:fill="E1DFDD"/>
    </w:rPr>
  </w:style>
  <w:style w:type="character" w:styleId="FollowedHyperlink">
    <w:name w:val="FollowedHyperlink"/>
    <w:basedOn w:val="DefaultParagraphFont"/>
    <w:semiHidden/>
    <w:unhideWhenUsed/>
    <w:rsid w:val="001245EF"/>
    <w:rPr>
      <w:color w:val="800080" w:themeColor="followedHyperlink"/>
      <w:u w:val="single"/>
    </w:rPr>
  </w:style>
  <w:style w:type="paragraph" w:styleId="Revision">
    <w:name w:val="Revision"/>
    <w:hidden/>
    <w:uiPriority w:val="99"/>
    <w:semiHidden/>
    <w:rsid w:val="005920E7"/>
    <w:rPr>
      <w:rFonts w:ascii="Arial" w:hAnsi="Arial"/>
      <w:color w:val="000000" w:themeColor="text1"/>
      <w:sz w:val="22"/>
      <w:szCs w:val="24"/>
      <w:lang w:eastAsia="en-US"/>
    </w:rPr>
  </w:style>
  <w:style w:type="paragraph" w:styleId="ListParagraph">
    <w:name w:val="List Paragraph"/>
    <w:basedOn w:val="Normal"/>
    <w:uiPriority w:val="34"/>
    <w:qFormat/>
    <w:rsid w:val="005920E7"/>
    <w:pPr>
      <w:ind w:left="720"/>
      <w:contextualSpacing/>
    </w:pPr>
  </w:style>
  <w:style w:type="character" w:styleId="CommentReference">
    <w:name w:val="annotation reference"/>
    <w:basedOn w:val="DefaultParagraphFont"/>
    <w:semiHidden/>
    <w:unhideWhenUsed/>
    <w:rsid w:val="00BE42C7"/>
    <w:rPr>
      <w:sz w:val="16"/>
      <w:szCs w:val="16"/>
    </w:rPr>
  </w:style>
  <w:style w:type="paragraph" w:styleId="CommentSubject">
    <w:name w:val="annotation subject"/>
    <w:basedOn w:val="CommentText"/>
    <w:next w:val="CommentText"/>
    <w:link w:val="CommentSubjectChar"/>
    <w:semiHidden/>
    <w:unhideWhenUsed/>
    <w:rsid w:val="00CD41E4"/>
    <w:pPr>
      <w:spacing w:before="120" w:after="120"/>
    </w:pPr>
    <w:rPr>
      <w:rFonts w:eastAsia="Times New Roman" w:cs="Times New Roman"/>
      <w:b/>
      <w:bCs/>
      <w:color w:val="000000" w:themeColor="text1"/>
    </w:rPr>
  </w:style>
  <w:style w:type="character" w:customStyle="1" w:styleId="CommentSubjectChar">
    <w:name w:val="Comment Subject Char"/>
    <w:basedOn w:val="CommentTextChar"/>
    <w:link w:val="CommentSubject"/>
    <w:semiHidden/>
    <w:rsid w:val="00CD41E4"/>
    <w:rPr>
      <w:rFonts w:ascii="Arial" w:eastAsiaTheme="minorEastAsia" w:hAnsi="Arial" w:cstheme="minorBidi"/>
      <w:b/>
      <w:bCs/>
      <w:color w:val="000000" w:themeColor="text1"/>
      <w:lang w:eastAsia="en-US"/>
    </w:rPr>
  </w:style>
  <w:style w:type="paragraph" w:customStyle="1" w:styleId="Tablea">
    <w:name w:val="Table(a)"/>
    <w:aliases w:val="ta"/>
    <w:basedOn w:val="Normal"/>
    <w:rsid w:val="000607B2"/>
    <w:pPr>
      <w:spacing w:before="60" w:after="0" w:line="240" w:lineRule="auto"/>
      <w:ind w:left="284" w:hanging="284"/>
    </w:pPr>
    <w:rPr>
      <w:rFonts w:ascii="Times New Roman" w:hAnsi="Times New Roman"/>
      <w:color w:val="auto"/>
      <w:sz w:val="20"/>
      <w:szCs w:val="20"/>
      <w:lang w:eastAsia="en-AU"/>
    </w:rPr>
  </w:style>
  <w:style w:type="paragraph" w:customStyle="1" w:styleId="Tablei">
    <w:name w:val="Table(i)"/>
    <w:aliases w:val="taa"/>
    <w:basedOn w:val="Normal"/>
    <w:rsid w:val="000607B2"/>
    <w:pPr>
      <w:tabs>
        <w:tab w:val="left" w:pos="-6543"/>
        <w:tab w:val="left" w:pos="-6260"/>
        <w:tab w:val="right" w:pos="970"/>
      </w:tabs>
      <w:spacing w:before="0" w:after="0" w:line="240" w:lineRule="exact"/>
      <w:ind w:left="828" w:hanging="284"/>
    </w:pPr>
    <w:rPr>
      <w:rFonts w:ascii="Times New Roman" w:hAnsi="Times New Roman"/>
      <w:color w:val="auto"/>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2039">
      <w:bodyDiv w:val="1"/>
      <w:marLeft w:val="0"/>
      <w:marRight w:val="0"/>
      <w:marTop w:val="0"/>
      <w:marBottom w:val="0"/>
      <w:divBdr>
        <w:top w:val="none" w:sz="0" w:space="0" w:color="auto"/>
        <w:left w:val="none" w:sz="0" w:space="0" w:color="auto"/>
        <w:bottom w:val="none" w:sz="0" w:space="0" w:color="auto"/>
        <w:right w:val="none" w:sz="0" w:space="0" w:color="auto"/>
      </w:divBdr>
    </w:div>
    <w:div w:id="223029450">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55548488">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538056377">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6739794">
      <w:bodyDiv w:val="1"/>
      <w:marLeft w:val="0"/>
      <w:marRight w:val="0"/>
      <w:marTop w:val="0"/>
      <w:marBottom w:val="0"/>
      <w:divBdr>
        <w:top w:val="none" w:sz="0" w:space="0" w:color="auto"/>
        <w:left w:val="none" w:sz="0" w:space="0" w:color="auto"/>
        <w:bottom w:val="none" w:sz="0" w:space="0" w:color="auto"/>
        <w:right w:val="none" w:sz="0" w:space="0" w:color="auto"/>
      </w:divBdr>
    </w:div>
    <w:div w:id="684136281">
      <w:bodyDiv w:val="1"/>
      <w:marLeft w:val="0"/>
      <w:marRight w:val="0"/>
      <w:marTop w:val="0"/>
      <w:marBottom w:val="0"/>
      <w:divBdr>
        <w:top w:val="none" w:sz="0" w:space="0" w:color="auto"/>
        <w:left w:val="none" w:sz="0" w:space="0" w:color="auto"/>
        <w:bottom w:val="none" w:sz="0" w:space="0" w:color="auto"/>
        <w:right w:val="none" w:sz="0" w:space="0" w:color="auto"/>
      </w:divBdr>
    </w:div>
    <w:div w:id="708144445">
      <w:bodyDiv w:val="1"/>
      <w:marLeft w:val="0"/>
      <w:marRight w:val="0"/>
      <w:marTop w:val="0"/>
      <w:marBottom w:val="0"/>
      <w:divBdr>
        <w:top w:val="none" w:sz="0" w:space="0" w:color="auto"/>
        <w:left w:val="none" w:sz="0" w:space="0" w:color="auto"/>
        <w:bottom w:val="none" w:sz="0" w:space="0" w:color="auto"/>
        <w:right w:val="none" w:sz="0" w:space="0" w:color="auto"/>
      </w:divBdr>
    </w:div>
    <w:div w:id="716852326">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097166566">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464230287">
      <w:bodyDiv w:val="1"/>
      <w:marLeft w:val="0"/>
      <w:marRight w:val="0"/>
      <w:marTop w:val="0"/>
      <w:marBottom w:val="0"/>
      <w:divBdr>
        <w:top w:val="none" w:sz="0" w:space="0" w:color="auto"/>
        <w:left w:val="none" w:sz="0" w:space="0" w:color="auto"/>
        <w:bottom w:val="none" w:sz="0" w:space="0" w:color="auto"/>
        <w:right w:val="none" w:sz="0" w:space="0" w:color="auto"/>
      </w:divBdr>
    </w:div>
    <w:div w:id="1710371467">
      <w:bodyDiv w:val="1"/>
      <w:marLeft w:val="0"/>
      <w:marRight w:val="0"/>
      <w:marTop w:val="0"/>
      <w:marBottom w:val="0"/>
      <w:divBdr>
        <w:top w:val="none" w:sz="0" w:space="0" w:color="auto"/>
        <w:left w:val="none" w:sz="0" w:space="0" w:color="auto"/>
        <w:bottom w:val="none" w:sz="0" w:space="0" w:color="auto"/>
        <w:right w:val="none" w:sz="0" w:space="0" w:color="auto"/>
      </w:divBdr>
    </w:div>
    <w:div w:id="1802646890">
      <w:bodyDiv w:val="1"/>
      <w:marLeft w:val="0"/>
      <w:marRight w:val="0"/>
      <w:marTop w:val="0"/>
      <w:marBottom w:val="0"/>
      <w:divBdr>
        <w:top w:val="none" w:sz="0" w:space="0" w:color="auto"/>
        <w:left w:val="none" w:sz="0" w:space="0" w:color="auto"/>
        <w:bottom w:val="none" w:sz="0" w:space="0" w:color="auto"/>
        <w:right w:val="none" w:sz="0" w:space="0" w:color="auto"/>
      </w:divBdr>
    </w:div>
    <w:div w:id="1882014351">
      <w:bodyDiv w:val="1"/>
      <w:marLeft w:val="0"/>
      <w:marRight w:val="0"/>
      <w:marTop w:val="0"/>
      <w:marBottom w:val="0"/>
      <w:divBdr>
        <w:top w:val="none" w:sz="0" w:space="0" w:color="auto"/>
        <w:left w:val="none" w:sz="0" w:space="0" w:color="auto"/>
        <w:bottom w:val="none" w:sz="0" w:space="0" w:color="auto"/>
        <w:right w:val="none" w:sz="0" w:space="0" w:color="auto"/>
      </w:divBdr>
    </w:div>
    <w:div w:id="1979795198">
      <w:bodyDiv w:val="1"/>
      <w:marLeft w:val="0"/>
      <w:marRight w:val="0"/>
      <w:marTop w:val="0"/>
      <w:marBottom w:val="0"/>
      <w:divBdr>
        <w:top w:val="none" w:sz="0" w:space="0" w:color="auto"/>
        <w:left w:val="none" w:sz="0" w:space="0" w:color="auto"/>
        <w:bottom w:val="none" w:sz="0" w:space="0" w:color="auto"/>
        <w:right w:val="none" w:sz="0" w:space="0" w:color="auto"/>
      </w:divBdr>
    </w:div>
    <w:div w:id="2000956338">
      <w:bodyDiv w:val="1"/>
      <w:marLeft w:val="0"/>
      <w:marRight w:val="0"/>
      <w:marTop w:val="0"/>
      <w:marBottom w:val="0"/>
      <w:divBdr>
        <w:top w:val="none" w:sz="0" w:space="0" w:color="auto"/>
        <w:left w:val="none" w:sz="0" w:space="0" w:color="auto"/>
        <w:bottom w:val="none" w:sz="0" w:space="0" w:color="auto"/>
        <w:right w:val="none" w:sz="0" w:space="0" w:color="auto"/>
      </w:divBdr>
      <w:divsChild>
        <w:div w:id="8954627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gov.au/topics/medicare/compliance" TargetMode="External"/><Relationship Id="rId13" Type="http://schemas.openxmlformats.org/officeDocument/2006/relationships/hyperlink" Target="https://www.health.gov.au/resources/collections/private-health-insurance-clinical-category-and-procedure-type?language=e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privatehealth.gov.au/health_insurance/howitworks/producttiers.htm" TargetMode="External"/><Relationship Id="rId17" Type="http://schemas.openxmlformats.org/officeDocument/2006/relationships/hyperlink" Target="https://www.mbsonline.gov.au/internet/mbsonline/publishing.nsf/Content/download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ervicesaustralia.gov.au/organisations/health-professionals/news/al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kMBS@health.gov.a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PHI@health.gov.au" TargetMode="External"/><Relationship Id="rId23" Type="http://schemas.openxmlformats.org/officeDocument/2006/relationships/footer" Target="footer3.xml"/><Relationship Id="rId10" Type="http://schemas.openxmlformats.org/officeDocument/2006/relationships/hyperlink" Target="https://www9.health.gov.au/mbs/subscribe.cf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mbsonline.gov.au/" TargetMode="External"/><Relationship Id="rId14" Type="http://schemas.openxmlformats.org/officeDocument/2006/relationships/hyperlink" Target="https://www.legislation.gov.au"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1445</Words>
  <Characters>8242</Characters>
  <Application>Microsoft Office Word</Application>
  <DocSecurity>0</DocSecurity>
  <Lines>68</Lines>
  <Paragraphs>19</Paragraphs>
  <ScaleCrop>false</ScaleCrop>
  <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2026-09-28T00:56:00Z</dcterms:created>
  <dcterms:modified xsi:type="dcterms:W3CDTF">2026-10-06T22:35:00Z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6a1e5938,10e9ef86,2e97df0c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264690d9,31c1eb3d,3ef7e7e8</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2026-09-28T00:56:23Z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29824049-1457-46c0-b42e-f5aed0a2d158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