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61F14" w14:textId="77777777" w:rsidR="00F72CBA" w:rsidRPr="00487F28" w:rsidRDefault="00F72CBA" w:rsidP="00487F28">
      <w:pPr>
        <w:pStyle w:val="Heading2"/>
        <w:rPr>
          <w:sz w:val="48"/>
          <w:szCs w:val="48"/>
        </w:rPr>
      </w:pPr>
      <w:bookmarkStart w:id="0" w:name="_Hlk4568006"/>
      <w:r w:rsidRPr="00487F28">
        <w:rPr>
          <w:sz w:val="48"/>
          <w:szCs w:val="48"/>
        </w:rPr>
        <w:t>MBS Item 14245 – Enabling Administration "On Behalf Of" a Medical Practitioner</w:t>
      </w:r>
    </w:p>
    <w:p w14:paraId="17A94164" w14:textId="640C4AF9" w:rsidR="00285623" w:rsidRPr="00285623" w:rsidRDefault="00064168" w:rsidP="00285623">
      <w:pPr>
        <w:rPr>
          <w:szCs w:val="22"/>
        </w:rPr>
      </w:pPr>
      <w:r w:rsidRPr="00867595">
        <w:t xml:space="preserve">Last updated: </w:t>
      </w:r>
      <w:r w:rsidR="008C63C4">
        <w:t>2</w:t>
      </w:r>
      <w:r w:rsidR="00E64A5E">
        <w:t>9</w:t>
      </w:r>
      <w:r w:rsidR="00046911">
        <w:t xml:space="preserve"> </w:t>
      </w:r>
      <w:r w:rsidR="00E64A5E">
        <w:t>October</w:t>
      </w:r>
      <w:r w:rsidR="00046911">
        <w:t xml:space="preserve"> </w:t>
      </w:r>
      <w:r w:rsidR="00E85CD4">
        <w:t>2026</w:t>
      </w:r>
      <w:bookmarkEnd w:id="0"/>
    </w:p>
    <w:p w14:paraId="392646C3" w14:textId="6B9E8BA1" w:rsidR="00B3794E" w:rsidRPr="006F5073" w:rsidRDefault="00285623" w:rsidP="00285623">
      <w:pPr>
        <w:pStyle w:val="ListBullet"/>
      </w:pPr>
      <w:r w:rsidRPr="00285623">
        <w:t xml:space="preserve">From </w:t>
      </w:r>
      <w:r w:rsidRPr="00B13818">
        <w:rPr>
          <w:b/>
          <w:bCs/>
        </w:rPr>
        <w:t>1 November 2026</w:t>
      </w:r>
      <w:r w:rsidRPr="00285623">
        <w:t xml:space="preserve">, Medicare Benefits Schedule (MBS) item 14245 will allow billing for administration of an immunomodulating agent by </w:t>
      </w:r>
      <w:r w:rsidRPr="000111ED">
        <w:rPr>
          <w:u w:val="single"/>
        </w:rPr>
        <w:t>or on behalf of</w:t>
      </w:r>
      <w:r w:rsidRPr="00285623">
        <w:t xml:space="preserve"> a medical practitioner, aligning the item with contemporary clinical practice and other comparable MBS services.</w:t>
      </w:r>
    </w:p>
    <w:p w14:paraId="66F1E38A" w14:textId="77777777" w:rsidR="00285623" w:rsidRPr="00285623" w:rsidRDefault="00285623" w:rsidP="00285623">
      <w:pPr>
        <w:pStyle w:val="ListBullet"/>
        <w:rPr>
          <w:lang w:eastAsia="en-AU"/>
        </w:rPr>
      </w:pPr>
      <w:r w:rsidRPr="00285623">
        <w:rPr>
          <w:lang w:eastAsia="en-AU"/>
        </w:rPr>
        <w:t>The amendment clarifies who may administer a service billed under item 14245, while maintaining existing patient access arrangements.</w:t>
      </w:r>
    </w:p>
    <w:p w14:paraId="129CE779" w14:textId="40AAC188" w:rsidR="00B3794E" w:rsidRPr="00867595" w:rsidRDefault="00285623" w:rsidP="00285623">
      <w:pPr>
        <w:pStyle w:val="ListBullet"/>
      </w:pPr>
      <w:r w:rsidRPr="00487F28">
        <w:t>These changes are relevant to medical practitioners, nurses and other qualified health professionals involved in the administration of immunomodulating agents under MBS item 14245.</w:t>
      </w:r>
    </w:p>
    <w:p w14:paraId="44460BF5" w14:textId="29A2ED51" w:rsidR="00064168" w:rsidRPr="00867595" w:rsidRDefault="00064168" w:rsidP="00064168">
      <w:pPr>
        <w:pStyle w:val="Heading2"/>
      </w:pPr>
      <w:r w:rsidRPr="00867595">
        <w:t>What are the changes?</w:t>
      </w:r>
    </w:p>
    <w:p w14:paraId="1454EA77" w14:textId="502B6955" w:rsidR="00E85CD4" w:rsidRPr="00804BB3" w:rsidRDefault="00E85CD4" w:rsidP="00E85CD4">
      <w:pPr>
        <w:rPr>
          <w:szCs w:val="22"/>
        </w:rPr>
      </w:pPr>
      <w:r w:rsidRPr="00804BB3">
        <w:rPr>
          <w:szCs w:val="22"/>
        </w:rPr>
        <w:t xml:space="preserve">Effective </w:t>
      </w:r>
      <w:r w:rsidRPr="00B13818">
        <w:rPr>
          <w:b/>
          <w:bCs/>
          <w:szCs w:val="22"/>
        </w:rPr>
        <w:t>1 November 2026</w:t>
      </w:r>
      <w:r w:rsidRPr="00804BB3">
        <w:rPr>
          <w:szCs w:val="22"/>
        </w:rPr>
        <w:t xml:space="preserve">, </w:t>
      </w:r>
      <w:r w:rsidR="00290DE0" w:rsidRPr="00804BB3">
        <w:rPr>
          <w:szCs w:val="22"/>
        </w:rPr>
        <w:t xml:space="preserve">the </w:t>
      </w:r>
      <w:r w:rsidR="00290DE0" w:rsidRPr="005C657F">
        <w:rPr>
          <w:i/>
          <w:iCs/>
          <w:szCs w:val="22"/>
        </w:rPr>
        <w:t>Health Insurance (General Medical Services Table) Regulations 2021</w:t>
      </w:r>
      <w:r w:rsidR="00290DE0" w:rsidRPr="00804BB3">
        <w:rPr>
          <w:szCs w:val="22"/>
        </w:rPr>
        <w:t xml:space="preserve"> </w:t>
      </w:r>
      <w:r w:rsidR="007B182D" w:rsidRPr="00804BB3">
        <w:rPr>
          <w:szCs w:val="22"/>
        </w:rPr>
        <w:t xml:space="preserve">will be amended to allow </w:t>
      </w:r>
      <w:r w:rsidRPr="00804BB3">
        <w:rPr>
          <w:szCs w:val="22"/>
        </w:rPr>
        <w:t xml:space="preserve">MBS item 14245 </w:t>
      </w:r>
      <w:r w:rsidR="00E53770" w:rsidRPr="00804BB3">
        <w:rPr>
          <w:szCs w:val="22"/>
        </w:rPr>
        <w:t xml:space="preserve">to be </w:t>
      </w:r>
      <w:r w:rsidR="00D50767" w:rsidRPr="00804BB3">
        <w:rPr>
          <w:szCs w:val="22"/>
        </w:rPr>
        <w:t>billed</w:t>
      </w:r>
      <w:r w:rsidR="00E53770" w:rsidRPr="00804BB3">
        <w:rPr>
          <w:szCs w:val="22"/>
        </w:rPr>
        <w:t xml:space="preserve"> for </w:t>
      </w:r>
      <w:r w:rsidRPr="00804BB3">
        <w:rPr>
          <w:szCs w:val="22"/>
        </w:rPr>
        <w:t>administration of an immunomodulating agent provided by or on behalf of a medical practitioner</w:t>
      </w:r>
      <w:r w:rsidR="00094C58" w:rsidRPr="00804BB3">
        <w:rPr>
          <w:szCs w:val="22"/>
        </w:rPr>
        <w:t>.</w:t>
      </w:r>
    </w:p>
    <w:p w14:paraId="4E459E9A" w14:textId="17A558BF" w:rsidR="00064168" w:rsidRPr="00804BB3" w:rsidRDefault="00064168" w:rsidP="00064168">
      <w:pPr>
        <w:rPr>
          <w:szCs w:val="22"/>
        </w:rPr>
      </w:pPr>
      <w:r w:rsidRPr="00804BB3">
        <w:rPr>
          <w:szCs w:val="22"/>
        </w:rPr>
        <w:t xml:space="preserve">The </w:t>
      </w:r>
      <w:r w:rsidR="006758B7" w:rsidRPr="00804BB3">
        <w:rPr>
          <w:szCs w:val="22"/>
        </w:rPr>
        <w:t>regulation amendments</w:t>
      </w:r>
      <w:r w:rsidRPr="00804BB3">
        <w:rPr>
          <w:szCs w:val="22"/>
        </w:rPr>
        <w:t xml:space="preserve"> include:</w:t>
      </w:r>
    </w:p>
    <w:p w14:paraId="2BE688EF" w14:textId="704F4A35" w:rsidR="00E55916" w:rsidRPr="00804BB3" w:rsidRDefault="00E55916" w:rsidP="00E85CD4">
      <w:pPr>
        <w:pStyle w:val="ListBullet"/>
      </w:pPr>
      <w:r w:rsidRPr="00804BB3">
        <w:t>adding MBS item 14245 to subclause 1.2.11(1) of the regulations, which allows services to be provided by persons other than medical practitioners</w:t>
      </w:r>
    </w:p>
    <w:p w14:paraId="71D44FCF" w14:textId="5236BD4C" w:rsidR="00E85CD4" w:rsidRDefault="00E55916" w:rsidP="00E85CD4">
      <w:pPr>
        <w:pStyle w:val="ListBullet"/>
      </w:pPr>
      <w:r w:rsidRPr="00804BB3">
        <w:t xml:space="preserve">modernising the descriptor of </w:t>
      </w:r>
      <w:r w:rsidR="00E85CD4" w:rsidRPr="00804BB3">
        <w:t xml:space="preserve">MBS item 14245 </w:t>
      </w:r>
      <w:r w:rsidR="00501642" w:rsidRPr="00804BB3">
        <w:t>to reflect how</w:t>
      </w:r>
      <w:r w:rsidR="00501642">
        <w:t xml:space="preserve"> these services are being delivered by </w:t>
      </w:r>
      <w:r w:rsidR="00501642" w:rsidRPr="00E85CD4">
        <w:t>qualified health professionals</w:t>
      </w:r>
      <w:r w:rsidR="00501642">
        <w:t xml:space="preserve">, </w:t>
      </w:r>
      <w:r w:rsidR="00501642" w:rsidRPr="00E85CD4">
        <w:t>under appropriate</w:t>
      </w:r>
      <w:r w:rsidR="00501642">
        <w:t xml:space="preserve"> </w:t>
      </w:r>
      <w:r w:rsidR="00501642" w:rsidRPr="00E85CD4">
        <w:t>medical supervision</w:t>
      </w:r>
      <w:r w:rsidR="00501642">
        <w:t>, using agents supplied under the Pharmaceutical Benefits Scheme</w:t>
      </w:r>
    </w:p>
    <w:p w14:paraId="741A9F17" w14:textId="15B72911" w:rsidR="00E85CD4" w:rsidRPr="00E85CD4" w:rsidRDefault="00BF7399" w:rsidP="00E85CD4">
      <w:pPr>
        <w:pStyle w:val="ListBullet"/>
        <w:rPr>
          <w:lang w:eastAsia="en-AU"/>
        </w:rPr>
      </w:pPr>
      <w:r>
        <w:rPr>
          <w:lang w:eastAsia="en-AU"/>
        </w:rPr>
        <w:t>removal of restrictions on MBS item 14245, under clause 5.2.</w:t>
      </w:r>
      <w:r w:rsidR="003E2ABC">
        <w:rPr>
          <w:lang w:eastAsia="en-AU"/>
        </w:rPr>
        <w:t>8</w:t>
      </w:r>
      <w:r w:rsidR="00C62DDF">
        <w:rPr>
          <w:lang w:eastAsia="en-AU"/>
        </w:rPr>
        <w:t xml:space="preserve"> of the regulations, which limited </w:t>
      </w:r>
      <w:r w:rsidR="00D50767">
        <w:rPr>
          <w:lang w:eastAsia="en-AU"/>
        </w:rPr>
        <w:t>billing</w:t>
      </w:r>
      <w:r w:rsidR="00C62DDF">
        <w:rPr>
          <w:lang w:eastAsia="en-AU"/>
        </w:rPr>
        <w:t xml:space="preserve"> to services </w:t>
      </w:r>
      <w:r w:rsidR="00C62DDF" w:rsidRPr="00C62DDF">
        <w:rPr>
          <w:lang w:eastAsia="en-AU"/>
        </w:rPr>
        <w:t>provided by a medical practitioner</w:t>
      </w:r>
      <w:r w:rsidR="00010E9B">
        <w:rPr>
          <w:lang w:eastAsia="en-AU"/>
        </w:rPr>
        <w:t xml:space="preserve"> only</w:t>
      </w:r>
      <w:r w:rsidR="00C62DDF">
        <w:rPr>
          <w:lang w:eastAsia="en-AU"/>
        </w:rPr>
        <w:t>.</w:t>
      </w:r>
    </w:p>
    <w:p w14:paraId="755EDB5F" w14:textId="0D440B9A" w:rsidR="00EC5320" w:rsidRDefault="00EC5320" w:rsidP="00487F28">
      <w:pPr>
        <w:spacing w:before="240"/>
        <w:rPr>
          <w:lang w:eastAsia="en-AU"/>
        </w:rPr>
      </w:pPr>
      <w:r w:rsidRPr="00EC5320">
        <w:rPr>
          <w:lang w:eastAsia="en-AU"/>
        </w:rPr>
        <w:t>The phrase ‘on behalf of’ has not been specified in the item descriptor because the descriptor relates to, and is covered by, subclause 1.2.11(1) of the regulations.</w:t>
      </w:r>
    </w:p>
    <w:p w14:paraId="2F59EB31" w14:textId="42348F00" w:rsidR="000111ED" w:rsidRDefault="000111ED" w:rsidP="00487F28">
      <w:pPr>
        <w:spacing w:before="240"/>
        <w:rPr>
          <w:lang w:eastAsia="en-AU"/>
        </w:rPr>
      </w:pPr>
      <w:r>
        <w:rPr>
          <w:lang w:eastAsia="en-AU"/>
        </w:rPr>
        <w:t xml:space="preserve">In </w:t>
      </w:r>
      <w:r w:rsidR="0029405D">
        <w:rPr>
          <w:lang w:eastAsia="en-AU"/>
        </w:rPr>
        <w:t xml:space="preserve">addition to these amendments, the guidance </w:t>
      </w:r>
      <w:r w:rsidR="00012145">
        <w:rPr>
          <w:lang w:eastAsia="en-AU"/>
        </w:rPr>
        <w:t xml:space="preserve">for this item has been updated </w:t>
      </w:r>
      <w:r w:rsidR="0029405D">
        <w:rPr>
          <w:lang w:eastAsia="en-AU"/>
        </w:rPr>
        <w:t xml:space="preserve">in explanatory note </w:t>
      </w:r>
      <w:hyperlink r:id="rId8" w:history="1">
        <w:r w:rsidR="00012145" w:rsidRPr="0029405D">
          <w:rPr>
            <w:rStyle w:val="Hyperlink"/>
            <w:lang w:eastAsia="en-AU"/>
          </w:rPr>
          <w:t>TN1.19</w:t>
        </w:r>
      </w:hyperlink>
      <w:r w:rsidR="00012145">
        <w:rPr>
          <w:lang w:eastAsia="en-AU"/>
        </w:rPr>
        <w:t>.</w:t>
      </w:r>
    </w:p>
    <w:p w14:paraId="5E0D379B" w14:textId="52D7796B" w:rsidR="002A4B0C" w:rsidRDefault="002A4B0C" w:rsidP="00487F28">
      <w:pPr>
        <w:spacing w:before="240"/>
        <w:rPr>
          <w:lang w:eastAsia="en-AU"/>
        </w:rPr>
      </w:pPr>
      <w:r>
        <w:rPr>
          <w:lang w:eastAsia="en-AU"/>
        </w:rPr>
        <w:t>MBS item 14245 will continue to require:</w:t>
      </w:r>
    </w:p>
    <w:p w14:paraId="1DD8D5ED" w14:textId="2F4EDCE4" w:rsidR="002A4B0C" w:rsidRDefault="002A4B0C" w:rsidP="00487F28">
      <w:pPr>
        <w:pStyle w:val="ListBullet"/>
      </w:pPr>
      <w:r>
        <w:t>use of i</w:t>
      </w:r>
      <w:r w:rsidRPr="002A4B0C">
        <w:t>mmunomodulating agent</w:t>
      </w:r>
      <w:r>
        <w:t>s</w:t>
      </w:r>
      <w:r w:rsidRPr="002A4B0C">
        <w:t xml:space="preserve"> supplied under the Pharmaceutical Benefits Scheme</w:t>
      </w:r>
    </w:p>
    <w:p w14:paraId="63058126" w14:textId="06FFC943" w:rsidR="002A4B0C" w:rsidRDefault="002A4B0C" w:rsidP="00487F28">
      <w:pPr>
        <w:pStyle w:val="ListBullet"/>
      </w:pPr>
      <w:r w:rsidRPr="002A4B0C">
        <w:t>administration by intravenous infusion</w:t>
      </w:r>
      <w:r>
        <w:t>,</w:t>
      </w:r>
      <w:r w:rsidRPr="002A4B0C">
        <w:t xml:space="preserve"> lasting at least 2 hours</w:t>
      </w:r>
    </w:p>
    <w:p w14:paraId="3F363269" w14:textId="42DF19A0" w:rsidR="002A4B0C" w:rsidRDefault="00D50767" w:rsidP="00487F28">
      <w:pPr>
        <w:pStyle w:val="ListBullet"/>
      </w:pPr>
      <w:r>
        <w:t>billing</w:t>
      </w:r>
      <w:r w:rsidR="002A4B0C">
        <w:t xml:space="preserve"> </w:t>
      </w:r>
      <w:r w:rsidR="00176E89">
        <w:t xml:space="preserve">(claiming) </w:t>
      </w:r>
      <w:r w:rsidR="002A4B0C">
        <w:t>once per day</w:t>
      </w:r>
      <w:r w:rsidR="00176E89">
        <w:t xml:space="preserve"> only</w:t>
      </w:r>
      <w:r w:rsidR="002A4B0C">
        <w:t>.</w:t>
      </w:r>
    </w:p>
    <w:p w14:paraId="4535F9F2" w14:textId="2EE2E273" w:rsidR="003F3061" w:rsidRDefault="00010E9B" w:rsidP="00487F28">
      <w:pPr>
        <w:spacing w:before="240"/>
        <w:rPr>
          <w:lang w:eastAsia="en-AU"/>
        </w:rPr>
      </w:pPr>
      <w:r w:rsidRPr="00010E9B">
        <w:rPr>
          <w:lang w:eastAsia="en-AU"/>
        </w:rPr>
        <w:lastRenderedPageBreak/>
        <w:t>In a separate but parallel process to the</w:t>
      </w:r>
      <w:r>
        <w:rPr>
          <w:lang w:eastAsia="en-AU"/>
        </w:rPr>
        <w:t xml:space="preserve"> above changes to the</w:t>
      </w:r>
      <w:r w:rsidRPr="00010E9B">
        <w:rPr>
          <w:lang w:eastAsia="en-AU"/>
        </w:rPr>
        <w:t xml:space="preserve"> GMST Regulations, </w:t>
      </w:r>
      <w:r w:rsidR="003F3061" w:rsidRPr="003F3061">
        <w:rPr>
          <w:lang w:eastAsia="en-AU"/>
        </w:rPr>
        <w:t xml:space="preserve">MBS item 14245 will be reclassified from a Type C procedure to a Type B procedure </w:t>
      </w:r>
      <w:r w:rsidR="003F3061">
        <w:rPr>
          <w:lang w:eastAsia="en-AU"/>
        </w:rPr>
        <w:t>for private health insurance purposes. The reclassification responds to</w:t>
      </w:r>
      <w:r w:rsidR="003213BD">
        <w:rPr>
          <w:lang w:eastAsia="en-AU"/>
        </w:rPr>
        <w:t xml:space="preserve"> </w:t>
      </w:r>
      <w:r w:rsidR="003F3061">
        <w:rPr>
          <w:lang w:eastAsia="en-AU"/>
        </w:rPr>
        <w:t xml:space="preserve">feedback provided </w:t>
      </w:r>
      <w:r w:rsidR="00A17E00">
        <w:rPr>
          <w:lang w:eastAsia="en-AU"/>
        </w:rPr>
        <w:t>following public consultation on private health reforms</w:t>
      </w:r>
      <w:r w:rsidR="003213BD">
        <w:rPr>
          <w:lang w:eastAsia="en-AU"/>
        </w:rPr>
        <w:t>.</w:t>
      </w:r>
      <w:r w:rsidR="003213BD" w:rsidRPr="003213BD">
        <w:rPr>
          <w:lang w:eastAsia="en-AU"/>
        </w:rPr>
        <w:t xml:space="preserve"> </w:t>
      </w:r>
      <w:r w:rsidR="003F3061" w:rsidRPr="003F3061">
        <w:rPr>
          <w:lang w:eastAsia="en-AU"/>
        </w:rPr>
        <w:t>A range of factors were considered in consulting on this reclassification, including clinical r</w:t>
      </w:r>
      <w:r w:rsidR="003F3061">
        <w:rPr>
          <w:lang w:eastAsia="en-AU"/>
        </w:rPr>
        <w:t>equirements</w:t>
      </w:r>
      <w:r w:rsidR="003F3061" w:rsidRPr="003F3061">
        <w:rPr>
          <w:lang w:eastAsia="en-AU"/>
        </w:rPr>
        <w:t xml:space="preserve">, stakeholder </w:t>
      </w:r>
      <w:r w:rsidR="003213BD">
        <w:rPr>
          <w:lang w:eastAsia="en-AU"/>
        </w:rPr>
        <w:t>advice</w:t>
      </w:r>
      <w:r w:rsidR="003F3061" w:rsidRPr="003F3061">
        <w:rPr>
          <w:lang w:eastAsia="en-AU"/>
        </w:rPr>
        <w:t>, and the current clinical setting for delivery.</w:t>
      </w:r>
      <w:r w:rsidR="003F3061">
        <w:rPr>
          <w:lang w:eastAsia="en-AU"/>
        </w:rPr>
        <w:t xml:space="preserve"> From 1 November 2026, item 14245 we be classified as follows:</w:t>
      </w:r>
    </w:p>
    <w:p w14:paraId="2A2F25BE" w14:textId="77777777" w:rsidR="003F3061" w:rsidRDefault="003F3061" w:rsidP="003F3061">
      <w:pPr>
        <w:pStyle w:val="ListBullet"/>
      </w:pPr>
      <w:r>
        <w:t xml:space="preserve">Clinical category: </w:t>
      </w:r>
      <w:r w:rsidRPr="007B182D">
        <w:t>Chemotherapy, radiotherapy and immunotherapy for cancer</w:t>
      </w:r>
    </w:p>
    <w:p w14:paraId="4DFD3C3E" w14:textId="016692F0" w:rsidR="003F3061" w:rsidRDefault="003F3061" w:rsidP="003F3061">
      <w:pPr>
        <w:pStyle w:val="ListBullet"/>
      </w:pPr>
      <w:r>
        <w:t xml:space="preserve">Procedure type: Type B </w:t>
      </w:r>
      <w:r w:rsidRPr="00D5722C">
        <w:t>Procedures</w:t>
      </w:r>
      <w:r>
        <w:t xml:space="preserve"> – </w:t>
      </w:r>
      <w:r w:rsidRPr="008507D0">
        <w:t>procedure normally requires at least part of same</w:t>
      </w:r>
      <w:r>
        <w:noBreakHyphen/>
      </w:r>
      <w:r w:rsidRPr="008507D0">
        <w:t xml:space="preserve">day </w:t>
      </w:r>
      <w:r>
        <w:t>h</w:t>
      </w:r>
      <w:r w:rsidRPr="008507D0">
        <w:t>ospital treatment</w:t>
      </w:r>
      <w:r>
        <w:t>.</w:t>
      </w:r>
    </w:p>
    <w:p w14:paraId="42BD5171" w14:textId="77777777" w:rsidR="00064168" w:rsidRDefault="00064168" w:rsidP="00910EEB">
      <w:pPr>
        <w:pStyle w:val="Heading2"/>
        <w:rPr>
          <w:lang w:eastAsia="en-AU"/>
        </w:rPr>
      </w:pPr>
      <w:r>
        <w:rPr>
          <w:lang w:eastAsia="en-AU"/>
        </w:rPr>
        <w:t>Why are the changes being made?</w:t>
      </w:r>
    </w:p>
    <w:p w14:paraId="31F15890" w14:textId="0F278CA7" w:rsidR="00842263" w:rsidRPr="00842263" w:rsidRDefault="00842263" w:rsidP="00842263">
      <w:pPr>
        <w:pStyle w:val="ListBullet"/>
        <w:rPr>
          <w:lang w:eastAsia="en-AU"/>
        </w:rPr>
      </w:pPr>
      <w:r>
        <w:rPr>
          <w:lang w:eastAsia="en-AU"/>
        </w:rPr>
        <w:t>MB</w:t>
      </w:r>
      <w:r w:rsidRPr="00842263">
        <w:rPr>
          <w:lang w:eastAsia="en-AU"/>
        </w:rPr>
        <w:t>S item 14245 currently requires direct administration by a medical practitioner and does not permit administration on behalf of a medical practitioner.</w:t>
      </w:r>
    </w:p>
    <w:p w14:paraId="69FE048E" w14:textId="2F8D10F7" w:rsidR="00C6315C" w:rsidRPr="00C6315C" w:rsidRDefault="00C6315C" w:rsidP="00C6315C">
      <w:pPr>
        <w:pStyle w:val="ListBullet"/>
        <w:rPr>
          <w:lang w:eastAsia="en-AU"/>
        </w:rPr>
      </w:pPr>
      <w:bookmarkStart w:id="1" w:name="_Hlk535386664"/>
      <w:r>
        <w:rPr>
          <w:lang w:eastAsia="en-AU"/>
        </w:rPr>
        <w:t>T</w:t>
      </w:r>
      <w:r w:rsidRPr="00C6315C">
        <w:rPr>
          <w:lang w:eastAsia="en-AU"/>
        </w:rPr>
        <w:t>he amendment aligns MBS item 14245 with contemporary clinical practice by allowing appropriately qualified health professionals to administer the service under the supervision of a medical practitioner.</w:t>
      </w:r>
    </w:p>
    <w:p w14:paraId="208206A4" w14:textId="77777777" w:rsidR="00C6315C" w:rsidRPr="00C6315C" w:rsidRDefault="00C6315C" w:rsidP="00C6315C">
      <w:pPr>
        <w:pStyle w:val="ListBullet"/>
        <w:rPr>
          <w:lang w:eastAsia="en-AU"/>
        </w:rPr>
      </w:pPr>
      <w:r w:rsidRPr="00C6315C">
        <w:rPr>
          <w:lang w:eastAsia="en-AU"/>
        </w:rPr>
        <w:t>The change improves consistency across the MBS by aligning item 14245 with other services that may be provided under established supervision arrangements.</w:t>
      </w:r>
    </w:p>
    <w:p w14:paraId="0B633406" w14:textId="77777777" w:rsidR="00842263" w:rsidRPr="00842263" w:rsidRDefault="00842263" w:rsidP="00842263">
      <w:pPr>
        <w:pStyle w:val="ListBullet"/>
        <w:rPr>
          <w:lang w:eastAsia="en-AU"/>
        </w:rPr>
      </w:pPr>
      <w:r w:rsidRPr="00842263">
        <w:rPr>
          <w:lang w:eastAsia="en-AU"/>
        </w:rPr>
        <w:t>The billing medical practitioner will continue to retain overall responsibility for the patient's care and the appropriate supervision of the service.</w:t>
      </w:r>
    </w:p>
    <w:bookmarkEnd w:id="1"/>
    <w:p w14:paraId="4B2559AC" w14:textId="37A59D9F" w:rsidR="00064168" w:rsidRDefault="00064168" w:rsidP="00064168">
      <w:pPr>
        <w:pStyle w:val="Heading2"/>
      </w:pPr>
      <w:r>
        <w:t>What does this mean for providers?</w:t>
      </w:r>
    </w:p>
    <w:p w14:paraId="5F18F588" w14:textId="679CA1D8" w:rsidR="00842263" w:rsidRPr="00842263" w:rsidRDefault="00842263" w:rsidP="00842263">
      <w:pPr>
        <w:rPr>
          <w:szCs w:val="22"/>
        </w:rPr>
      </w:pPr>
      <w:r w:rsidRPr="00842263">
        <w:rPr>
          <w:szCs w:val="22"/>
        </w:rPr>
        <w:t xml:space="preserve">From 1 November 2026, MBS item 14245 may be </w:t>
      </w:r>
      <w:r w:rsidR="00D50767">
        <w:rPr>
          <w:szCs w:val="22"/>
        </w:rPr>
        <w:t>billed</w:t>
      </w:r>
      <w:r w:rsidR="00D50767" w:rsidRPr="00842263">
        <w:rPr>
          <w:szCs w:val="22"/>
        </w:rPr>
        <w:t xml:space="preserve"> </w:t>
      </w:r>
      <w:r w:rsidRPr="00842263">
        <w:rPr>
          <w:szCs w:val="22"/>
        </w:rPr>
        <w:t>where an immunomodulating agent is administered by, or on behalf of, a medical practitioner in accordance with the relevant legislative requirements. This means that appropriately qualified health professionals, such as registered nurses, may administer the infusion under the supervision of the billing medical practitioner.</w:t>
      </w:r>
    </w:p>
    <w:p w14:paraId="5B905CFD" w14:textId="54BEACB9" w:rsidR="00842263" w:rsidRPr="00842263" w:rsidRDefault="00842263" w:rsidP="00842263">
      <w:pPr>
        <w:rPr>
          <w:szCs w:val="22"/>
        </w:rPr>
      </w:pPr>
      <w:r w:rsidRPr="00842263">
        <w:rPr>
          <w:szCs w:val="22"/>
        </w:rPr>
        <w:t xml:space="preserve">Medical practitioners who bill item 14245 will continue to retain overall responsibility for the service and must ensure that any supervised administration arrangements are consistent with accepted medical practice and applicable supervision requirements. </w:t>
      </w:r>
      <w:r w:rsidR="000B5E99" w:rsidRPr="000B5E99">
        <w:rPr>
          <w:szCs w:val="22"/>
        </w:rPr>
        <w:t>This includes the legislative requirement that supervision must be provided from within Australia</w:t>
      </w:r>
      <w:r w:rsidR="000B5E99">
        <w:rPr>
          <w:szCs w:val="22"/>
        </w:rPr>
        <w:t xml:space="preserve">. </w:t>
      </w:r>
      <w:r w:rsidRPr="00842263">
        <w:rPr>
          <w:szCs w:val="22"/>
        </w:rPr>
        <w:t>Providers should review local clinical and billing processes to ensure they align with the amended item requirements from 1 November 2026.</w:t>
      </w:r>
    </w:p>
    <w:p w14:paraId="7F7DA4F7" w14:textId="77777777" w:rsidR="00064168" w:rsidRDefault="00064168" w:rsidP="00064168">
      <w:pPr>
        <w:pStyle w:val="Heading2"/>
      </w:pPr>
      <w:r>
        <w:t>How will these changes affect patients</w:t>
      </w:r>
      <w:r w:rsidRPr="001A7FB7">
        <w:t>?</w:t>
      </w:r>
    </w:p>
    <w:p w14:paraId="584C40E8" w14:textId="7EF9C770" w:rsidR="00842263" w:rsidRDefault="00842263" w:rsidP="00842263">
      <w:pPr>
        <w:rPr>
          <w:rFonts w:cs="Arial"/>
          <w:szCs w:val="22"/>
        </w:rPr>
      </w:pPr>
      <w:r w:rsidRPr="00804BB3">
        <w:rPr>
          <w:rFonts w:cs="Arial"/>
          <w:szCs w:val="22"/>
        </w:rPr>
        <w:t>From 1 November 2026, patients</w:t>
      </w:r>
      <w:r w:rsidRPr="00842263">
        <w:rPr>
          <w:rFonts w:cs="Arial"/>
          <w:szCs w:val="22"/>
        </w:rPr>
        <w:t xml:space="preserve"> receiving treatment under MBS item 14245 will continue to be able to access Medicare benefits for clinically appropriate immunomodulating agent administration services. </w:t>
      </w:r>
      <w:r w:rsidR="00C6315C" w:rsidRPr="00C6315C">
        <w:rPr>
          <w:rFonts w:cs="Arial"/>
          <w:szCs w:val="22"/>
        </w:rPr>
        <w:t>The amendment changes who may administer the service on behalf of a medical practitioner but does not change patient eligibility for Medicare benefits.</w:t>
      </w:r>
    </w:p>
    <w:p w14:paraId="5450E8DF" w14:textId="77777777" w:rsidR="00842263" w:rsidRPr="00842263" w:rsidRDefault="00842263" w:rsidP="00842263">
      <w:pPr>
        <w:rPr>
          <w:rFonts w:cs="Arial"/>
          <w:szCs w:val="22"/>
        </w:rPr>
      </w:pPr>
      <w:r w:rsidRPr="00842263">
        <w:rPr>
          <w:rFonts w:cs="Arial"/>
          <w:szCs w:val="22"/>
        </w:rPr>
        <w:t xml:space="preserve">The change allows appropriately qualified health professionals, such as registered nurses, to administer the treatment under the supervision of the treating medical practitioner. The </w:t>
      </w:r>
      <w:r w:rsidRPr="00842263">
        <w:rPr>
          <w:rFonts w:cs="Arial"/>
          <w:szCs w:val="22"/>
        </w:rPr>
        <w:lastRenderedPageBreak/>
        <w:t>treating medical practitioner will continue to retain overall responsibility for the patient's care and treatment.</w:t>
      </w:r>
    </w:p>
    <w:p w14:paraId="4DBFC94D" w14:textId="77777777" w:rsidR="00842263" w:rsidRPr="00842263" w:rsidRDefault="00842263" w:rsidP="00842263">
      <w:pPr>
        <w:rPr>
          <w:rFonts w:cs="Arial"/>
          <w:szCs w:val="22"/>
        </w:rPr>
      </w:pPr>
      <w:r w:rsidRPr="00842263">
        <w:rPr>
          <w:rFonts w:cs="Arial"/>
          <w:szCs w:val="22"/>
        </w:rPr>
        <w:t xml:space="preserve">Patients should continue to receive services that reflect contemporary clinical practice and should not experience any reduction in access to clinically appropriate treatment </w:t>
      </w:r>
      <w:proofErr w:type="gramStart"/>
      <w:r w:rsidRPr="00842263">
        <w:rPr>
          <w:rFonts w:cs="Arial"/>
          <w:szCs w:val="22"/>
        </w:rPr>
        <w:t>as a result of</w:t>
      </w:r>
      <w:proofErr w:type="gramEnd"/>
      <w:r w:rsidRPr="00842263">
        <w:rPr>
          <w:rFonts w:cs="Arial"/>
          <w:szCs w:val="22"/>
        </w:rPr>
        <w:t xml:space="preserve"> this change.</w:t>
      </w:r>
    </w:p>
    <w:p w14:paraId="32E82B19" w14:textId="77777777" w:rsidR="00064168" w:rsidRDefault="00064168" w:rsidP="00064168">
      <w:pPr>
        <w:pStyle w:val="Heading2"/>
      </w:pPr>
      <w:r w:rsidRPr="001A7FB7">
        <w:t>How will the changes be monitored</w:t>
      </w:r>
      <w:r>
        <w:t xml:space="preserve"> and reviewed</w:t>
      </w:r>
      <w:r w:rsidRPr="001A7FB7">
        <w:t>?</w:t>
      </w:r>
    </w:p>
    <w:p w14:paraId="12F7C458" w14:textId="77777777" w:rsidR="00ED76AE" w:rsidRPr="00ED76AE" w:rsidRDefault="00ED76AE" w:rsidP="00ED76AE">
      <w:pPr>
        <w:rPr>
          <w:szCs w:val="22"/>
        </w:rPr>
      </w:pPr>
      <w:r w:rsidRPr="00ED76AE">
        <w:rPr>
          <w:szCs w:val="22"/>
        </w:rPr>
        <w:t>Providers are responsible for ensuring Medicare services claimed using their provider number meet all legislative requirements.</w:t>
      </w:r>
    </w:p>
    <w:p w14:paraId="0A532BB3" w14:textId="31341D10" w:rsidR="00842263" w:rsidRPr="00842263" w:rsidRDefault="00842263" w:rsidP="00842263">
      <w:pPr>
        <w:rPr>
          <w:szCs w:val="22"/>
        </w:rPr>
      </w:pPr>
      <w:r w:rsidRPr="00842263">
        <w:rPr>
          <w:szCs w:val="22"/>
        </w:rPr>
        <w:t xml:space="preserve">All Medicare claiming is subject to compliance checks and providers may be required to submit evidence about the services they bill. More information about the Department of Health, Disability and Ageing’s </w:t>
      </w:r>
      <w:r w:rsidR="005C657F">
        <w:rPr>
          <w:szCs w:val="22"/>
        </w:rPr>
        <w:t xml:space="preserve">(the department) </w:t>
      </w:r>
      <w:r w:rsidRPr="00842263">
        <w:rPr>
          <w:szCs w:val="22"/>
        </w:rPr>
        <w:t xml:space="preserve">compliance program can be found on its website at </w:t>
      </w:r>
      <w:hyperlink r:id="rId9" w:history="1">
        <w:r w:rsidRPr="005C657F">
          <w:rPr>
            <w:rStyle w:val="Hyperlink"/>
            <w:szCs w:val="22"/>
          </w:rPr>
          <w:t>Medicare compliance</w:t>
        </w:r>
      </w:hyperlink>
      <w:r w:rsidRPr="00842263">
        <w:rPr>
          <w:szCs w:val="22"/>
        </w:rPr>
        <w:t>.</w:t>
      </w:r>
    </w:p>
    <w:p w14:paraId="2B5F81D3" w14:textId="77777777" w:rsidR="00ED76AE" w:rsidRPr="00ED76AE" w:rsidRDefault="00842263" w:rsidP="00ED76AE">
      <w:pPr>
        <w:rPr>
          <w:szCs w:val="22"/>
        </w:rPr>
      </w:pPr>
      <w:r w:rsidRPr="00842263">
        <w:rPr>
          <w:szCs w:val="22"/>
        </w:rPr>
        <w:t xml:space="preserve">Following implementation, claims for MBS item 14245 will continue to be subject to normal Medicare claiming, integrity and compliance arrangements. </w:t>
      </w:r>
    </w:p>
    <w:p w14:paraId="33C02C8C" w14:textId="51BB661F" w:rsidR="00842263" w:rsidRPr="00842263" w:rsidRDefault="00ED76AE" w:rsidP="00842263">
      <w:pPr>
        <w:rPr>
          <w:szCs w:val="22"/>
        </w:rPr>
      </w:pPr>
      <w:r w:rsidRPr="00ED76AE">
        <w:rPr>
          <w:szCs w:val="22"/>
        </w:rPr>
        <w:t>Providers should ensure that services billed under item 14245 comply with all relevant legislative requirements, including requirements relating to services provided by or on behalf of a medical practitioner.</w:t>
      </w:r>
    </w:p>
    <w:p w14:paraId="3C63E237" w14:textId="77777777" w:rsidR="00064168" w:rsidRDefault="00064168" w:rsidP="00064168">
      <w:pPr>
        <w:pStyle w:val="Heading2"/>
      </w:pPr>
      <w:r>
        <w:t>Where can I find more information?</w:t>
      </w:r>
    </w:p>
    <w:p w14:paraId="0415FD7A" w14:textId="77777777" w:rsidR="00036F66" w:rsidRPr="00036F66" w:rsidRDefault="00036F66" w:rsidP="00036F66">
      <w:pPr>
        <w:rPr>
          <w:szCs w:val="22"/>
        </w:rPr>
      </w:pPr>
      <w:r w:rsidRPr="00036F66">
        <w:rPr>
          <w:szCs w:val="22"/>
        </w:rPr>
        <w:t xml:space="preserve">The full item descriptor(s) and information on other changes to the MBS can be found on the </w:t>
      </w:r>
      <w:hyperlink r:id="rId10" w:history="1">
        <w:r w:rsidRPr="00036F66">
          <w:rPr>
            <w:rStyle w:val="Hyperlink"/>
            <w:szCs w:val="22"/>
          </w:rPr>
          <w:t>MBS Online website</w:t>
        </w:r>
      </w:hyperlink>
      <w:r w:rsidRPr="00036F66">
        <w:rPr>
          <w:szCs w:val="22"/>
          <w:u w:val="single"/>
        </w:rPr>
        <w:t>.</w:t>
      </w:r>
      <w:r w:rsidRPr="00036F66">
        <w:rPr>
          <w:szCs w:val="22"/>
        </w:rPr>
        <w:t xml:space="preserve"> You can also subscribe to future MBS updates by visiting ‘</w:t>
      </w:r>
      <w:hyperlink r:id="rId11" w:history="1">
        <w:r w:rsidRPr="00036F66">
          <w:rPr>
            <w:rStyle w:val="Hyperlink"/>
            <w:szCs w:val="22"/>
          </w:rPr>
          <w:t>Subscribe to the MBS</w:t>
        </w:r>
      </w:hyperlink>
      <w:r w:rsidRPr="00036F66">
        <w:rPr>
          <w:szCs w:val="22"/>
        </w:rPr>
        <w:t xml:space="preserve">’ on the MBS Online website. </w:t>
      </w:r>
    </w:p>
    <w:p w14:paraId="5AA9EFBC" w14:textId="77777777" w:rsidR="00036F66" w:rsidRPr="00036F66" w:rsidRDefault="00036F66" w:rsidP="00036F66">
      <w:pPr>
        <w:rPr>
          <w:szCs w:val="22"/>
        </w:rPr>
      </w:pPr>
      <w:r w:rsidRPr="00036F66">
        <w:rPr>
          <w:szCs w:val="22"/>
        </w:rPr>
        <w:t xml:space="preserve">Providers seeking advice on interpretation of MBS items, explanatory notes and associated legislation can use the department’s email advice service by emailing </w:t>
      </w:r>
      <w:hyperlink r:id="rId12" w:history="1">
        <w:r w:rsidRPr="00036F66">
          <w:rPr>
            <w:rStyle w:val="Hyperlink"/>
            <w:szCs w:val="22"/>
          </w:rPr>
          <w:t>askMBS@health.gov.au</w:t>
        </w:r>
      </w:hyperlink>
      <w:r w:rsidRPr="00036F66">
        <w:rPr>
          <w:szCs w:val="22"/>
        </w:rPr>
        <w:t>.</w:t>
      </w:r>
    </w:p>
    <w:p w14:paraId="445EE4E6" w14:textId="77777777" w:rsidR="00036F66" w:rsidRPr="00036F66" w:rsidRDefault="00036F66" w:rsidP="00036F66">
      <w:pPr>
        <w:rPr>
          <w:szCs w:val="22"/>
        </w:rPr>
      </w:pPr>
      <w:r w:rsidRPr="00036F66">
        <w:rPr>
          <w:szCs w:val="22"/>
        </w:rPr>
        <w:t>Subscribe to ‘</w:t>
      </w:r>
      <w:hyperlink r:id="rId13" w:history="1">
        <w:r w:rsidRPr="00036F66">
          <w:rPr>
            <w:rStyle w:val="Hyperlink"/>
            <w:szCs w:val="22"/>
          </w:rPr>
          <w:t>News for Health Professionals</w:t>
        </w:r>
      </w:hyperlink>
      <w:r w:rsidRPr="00036F66">
        <w:rPr>
          <w:szCs w:val="22"/>
        </w:rPr>
        <w:t>’ on the Services Australia website to receive regular news highlights.</w:t>
      </w:r>
    </w:p>
    <w:p w14:paraId="07803116" w14:textId="77777777" w:rsidR="00036F66" w:rsidRPr="00036F66" w:rsidRDefault="00036F66" w:rsidP="00036F66">
      <w:pPr>
        <w:rPr>
          <w:szCs w:val="22"/>
        </w:rPr>
      </w:pPr>
      <w:r w:rsidRPr="00036F66">
        <w:rPr>
          <w:szCs w:val="22"/>
        </w:rPr>
        <w:t xml:space="preserve">If you are seeking advice in relation to Medicare billing, claiming, payments, or obtaining a provider number, please go to the Health Professionals page on the Services Australia website or contact Services Australia on the Provider Enquiry Line – 13 21 50. </w:t>
      </w:r>
    </w:p>
    <w:p w14:paraId="5BE7D130" w14:textId="2E5EA07F" w:rsidR="000111ED" w:rsidRDefault="00036F66" w:rsidP="00036F66">
      <w:pPr>
        <w:rPr>
          <w:szCs w:val="22"/>
        </w:rPr>
      </w:pPr>
      <w:r w:rsidRPr="00036F66">
        <w:rPr>
          <w:szCs w:val="22"/>
        </w:rPr>
        <w:t xml:space="preserve">The data file for software vendors when available can be accessed via the </w:t>
      </w:r>
      <w:hyperlink r:id="rId14" w:history="1">
        <w:r w:rsidRPr="00036F66">
          <w:rPr>
            <w:rStyle w:val="Hyperlink"/>
            <w:szCs w:val="22"/>
          </w:rPr>
          <w:t>Downloads</w:t>
        </w:r>
      </w:hyperlink>
      <w:r w:rsidRPr="00036F66">
        <w:rPr>
          <w:szCs w:val="22"/>
        </w:rPr>
        <w:t xml:space="preserve"> page.</w:t>
      </w:r>
    </w:p>
    <w:p w14:paraId="7F3FEF2A" w14:textId="77777777" w:rsidR="000111ED" w:rsidRDefault="000111ED">
      <w:pPr>
        <w:spacing w:before="0" w:after="0" w:line="240" w:lineRule="auto"/>
        <w:rPr>
          <w:szCs w:val="22"/>
        </w:rPr>
      </w:pPr>
      <w:r>
        <w:rPr>
          <w:szCs w:val="22"/>
        </w:rPr>
        <w:br w:type="page"/>
      </w:r>
    </w:p>
    <w:p w14:paraId="7D4EB08E" w14:textId="44F47A33" w:rsidR="00E178B1" w:rsidRPr="00E178B1" w:rsidRDefault="00BE3ED5" w:rsidP="00487F28">
      <w:pPr>
        <w:pStyle w:val="Heading2"/>
      </w:pPr>
      <w:r>
        <w:lastRenderedPageBreak/>
        <w:t>Amended item descriptor (to take eff</w:t>
      </w:r>
      <w:r w:rsidR="00E178B1">
        <w:t>ect 1</w:t>
      </w:r>
      <w:r w:rsidR="000111ED">
        <w:t> </w:t>
      </w:r>
      <w:r w:rsidR="00E178B1">
        <w:t>November</w:t>
      </w:r>
      <w:r w:rsidR="000111ED">
        <w:t> </w:t>
      </w:r>
      <w:r w:rsidR="00E178B1">
        <w:t>2026</w:t>
      </w:r>
      <w:r>
        <w:t>)</w:t>
      </w:r>
    </w:p>
    <w:p w14:paraId="640FEDBC" w14:textId="77777777" w:rsidR="00E178B1" w:rsidRPr="00E178B1" w:rsidRDefault="00E178B1" w:rsidP="00E178B1"/>
    <w:tbl>
      <w:tblPr>
        <w:tblStyle w:val="GridTable4-Accent2"/>
        <w:tblW w:w="0" w:type="auto"/>
        <w:tblLook w:val="04A0" w:firstRow="1" w:lastRow="0" w:firstColumn="1" w:lastColumn="0" w:noHBand="0" w:noVBand="1"/>
      </w:tblPr>
      <w:tblGrid>
        <w:gridCol w:w="9060"/>
      </w:tblGrid>
      <w:tr w:rsidR="005862BB" w14:paraId="148B360C" w14:textId="77777777" w:rsidTr="001210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60" w:type="dxa"/>
            <w:hideMark/>
          </w:tcPr>
          <w:p w14:paraId="4AA0C3FA" w14:textId="2151762B" w:rsidR="005862BB" w:rsidRPr="00257A67" w:rsidRDefault="005862BB" w:rsidP="005862BB">
            <w:pPr>
              <w:rPr>
                <w:rFonts w:cs="Arial"/>
                <w:b w:val="0"/>
                <w:bCs w:val="0"/>
                <w:lang w:eastAsia="en-AU"/>
              </w:rPr>
            </w:pPr>
            <w:bookmarkStart w:id="2" w:name="_Hlk118987208"/>
            <w:r w:rsidRPr="00257A67">
              <w:rPr>
                <w:rFonts w:cs="Arial"/>
                <w:color w:val="auto"/>
              </w:rPr>
              <w:t>Category 3 – THERAPEUTIC PROCEDURES</w:t>
            </w:r>
          </w:p>
        </w:tc>
      </w:tr>
      <w:tr w:rsidR="005862BB" w14:paraId="4C44E092" w14:textId="77777777" w:rsidTr="001210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hideMark/>
          </w:tcPr>
          <w:p w14:paraId="3BA5373D" w14:textId="3EA130E7" w:rsidR="005862BB" w:rsidRPr="00257A67" w:rsidRDefault="005862BB" w:rsidP="005862BB">
            <w:pPr>
              <w:rPr>
                <w:rFonts w:cs="Arial"/>
                <w:b w:val="0"/>
                <w:bCs w:val="0"/>
                <w:szCs w:val="22"/>
                <w:lang w:eastAsia="en-AU"/>
              </w:rPr>
            </w:pPr>
            <w:r w:rsidRPr="00257A67">
              <w:rPr>
                <w:rFonts w:cs="Arial"/>
                <w:szCs w:val="22"/>
                <w:lang w:eastAsia="en-AU"/>
              </w:rPr>
              <w:t xml:space="preserve">Group </w:t>
            </w:r>
            <w:r w:rsidRPr="00257A67">
              <w:rPr>
                <w:rFonts w:cs="Arial"/>
                <w:color w:val="auto"/>
                <w:szCs w:val="22"/>
              </w:rPr>
              <w:t>T1 - Miscellaneous Therapeutic Procedures</w:t>
            </w:r>
          </w:p>
        </w:tc>
      </w:tr>
      <w:tr w:rsidR="005862BB" w14:paraId="3DDFF680" w14:textId="77777777" w:rsidTr="001210F8">
        <w:tc>
          <w:tcPr>
            <w:cnfStyle w:val="001000000000" w:firstRow="0" w:lastRow="0" w:firstColumn="1" w:lastColumn="0" w:oddVBand="0" w:evenVBand="0" w:oddHBand="0" w:evenHBand="0" w:firstRowFirstColumn="0" w:firstRowLastColumn="0" w:lastRowFirstColumn="0" w:lastRowLastColumn="0"/>
            <w:tcW w:w="9060" w:type="dxa"/>
            <w:hideMark/>
          </w:tcPr>
          <w:p w14:paraId="7D263584" w14:textId="6BDE36BD" w:rsidR="005862BB" w:rsidRPr="00257A67" w:rsidRDefault="005862BB" w:rsidP="005862BB">
            <w:pPr>
              <w:pStyle w:val="5Bodytext"/>
              <w:spacing w:before="120" w:after="0"/>
              <w:rPr>
                <w:rFonts w:ascii="Arial" w:hAnsi="Arial" w:cs="Arial"/>
                <w:color w:val="002060"/>
                <w:sz w:val="22"/>
                <w:szCs w:val="22"/>
              </w:rPr>
            </w:pPr>
            <w:r w:rsidRPr="00257A67">
              <w:rPr>
                <w:rFonts w:ascii="Arial" w:hAnsi="Arial" w:cs="Arial"/>
                <w:sz w:val="22"/>
                <w:szCs w:val="22"/>
              </w:rPr>
              <w:t>Subgroup          13 - Other Therapeutic Procedures</w:t>
            </w:r>
          </w:p>
        </w:tc>
      </w:tr>
      <w:tr w:rsidR="005862BB" w14:paraId="25FF7AAD" w14:textId="77777777" w:rsidTr="000111ED">
        <w:trPr>
          <w:cnfStyle w:val="000000100000" w:firstRow="0" w:lastRow="0" w:firstColumn="0" w:lastColumn="0" w:oddVBand="0" w:evenVBand="0" w:oddHBand="1" w:evenHBand="0" w:firstRowFirstColumn="0" w:firstRowLastColumn="0" w:lastRowFirstColumn="0" w:lastRowLastColumn="0"/>
          <w:trHeight w:val="2814"/>
        </w:trPr>
        <w:tc>
          <w:tcPr>
            <w:cnfStyle w:val="001000000000" w:firstRow="0" w:lastRow="0" w:firstColumn="1" w:lastColumn="0" w:oddVBand="0" w:evenVBand="0" w:oddHBand="0" w:evenHBand="0" w:firstRowFirstColumn="0" w:firstRowLastColumn="0" w:lastRowFirstColumn="0" w:lastRowLastColumn="0"/>
            <w:tcW w:w="9060" w:type="dxa"/>
            <w:hideMark/>
          </w:tcPr>
          <w:p w14:paraId="4B940370" w14:textId="3E249C6B" w:rsidR="005862BB" w:rsidRPr="00257A67" w:rsidRDefault="005862BB" w:rsidP="005862BB">
            <w:pPr>
              <w:rPr>
                <w:rFonts w:cs="Arial"/>
                <w:b w:val="0"/>
                <w:bCs w:val="0"/>
                <w:szCs w:val="22"/>
              </w:rPr>
            </w:pPr>
            <w:r w:rsidRPr="00257A67">
              <w:rPr>
                <w:rFonts w:cs="Arial"/>
                <w:b w:val="0"/>
                <w:bCs w:val="0"/>
                <w:szCs w:val="22"/>
              </w:rPr>
              <w:t>14245</w:t>
            </w:r>
          </w:p>
          <w:p w14:paraId="6B455483" w14:textId="2373E728" w:rsidR="005862BB" w:rsidRPr="00093C4E" w:rsidRDefault="00616D83" w:rsidP="005862BB">
            <w:pPr>
              <w:pStyle w:val="5Bodytext"/>
              <w:spacing w:before="120" w:after="0"/>
              <w:rPr>
                <w:rFonts w:ascii="Arial" w:hAnsi="Arial" w:cs="Arial"/>
                <w:b w:val="0"/>
                <w:bCs w:val="0"/>
                <w:color w:val="C00000"/>
                <w:sz w:val="22"/>
                <w:szCs w:val="22"/>
              </w:rPr>
            </w:pPr>
            <w:r w:rsidRPr="00093C4E">
              <w:rPr>
                <w:rFonts w:ascii="Arial" w:hAnsi="Arial" w:cs="Arial"/>
                <w:b w:val="0"/>
                <w:bCs w:val="0"/>
                <w:color w:val="C00000"/>
                <w:sz w:val="22"/>
                <w:szCs w:val="22"/>
              </w:rPr>
              <w:t>Immunomodulating agent supplied under the pharmaceutical benefits scheme, administration of, by intravenous infusion lasting at least 2 hours—applicable once per day</w:t>
            </w:r>
          </w:p>
          <w:p w14:paraId="0229C1D4" w14:textId="77777777" w:rsidR="005862BB" w:rsidRPr="00257A67" w:rsidRDefault="005862BB" w:rsidP="005862BB">
            <w:pPr>
              <w:pStyle w:val="5Bodytext"/>
              <w:spacing w:before="120" w:after="0"/>
              <w:rPr>
                <w:rFonts w:ascii="Arial" w:hAnsi="Arial" w:cs="Arial"/>
                <w:sz w:val="22"/>
                <w:szCs w:val="22"/>
              </w:rPr>
            </w:pPr>
          </w:p>
          <w:p w14:paraId="3794883D" w14:textId="77777777" w:rsidR="005862BB" w:rsidRPr="00257A67" w:rsidRDefault="005862BB" w:rsidP="005862BB">
            <w:pPr>
              <w:pStyle w:val="ListBullet"/>
              <w:rPr>
                <w:rFonts w:cs="Arial"/>
                <w:b w:val="0"/>
                <w:bCs w:val="0"/>
              </w:rPr>
            </w:pPr>
            <w:r w:rsidRPr="00257A67">
              <w:rPr>
                <w:rFonts w:cs="Arial"/>
                <w:b w:val="0"/>
                <w:bCs w:val="0"/>
              </w:rPr>
              <w:t>Private Health Insurance Classification:</w:t>
            </w:r>
          </w:p>
          <w:p w14:paraId="21CB5849" w14:textId="0E0C4AE8" w:rsidR="0072218E" w:rsidRPr="00257A67" w:rsidRDefault="0072218E" w:rsidP="0072218E">
            <w:pPr>
              <w:pStyle w:val="ListBullet"/>
              <w:rPr>
                <w:rFonts w:cs="Arial"/>
                <w:b w:val="0"/>
                <w:bCs w:val="0"/>
              </w:rPr>
            </w:pPr>
            <w:r w:rsidRPr="00257A67">
              <w:rPr>
                <w:rFonts w:cs="Arial"/>
                <w:b w:val="0"/>
                <w:bCs w:val="0"/>
              </w:rPr>
              <w:t>Clinical category: Chemotherapy, radiotherapy and immunotherapy for cancer</w:t>
            </w:r>
          </w:p>
          <w:p w14:paraId="1106ACA2" w14:textId="36127816" w:rsidR="0072218E" w:rsidRPr="00257A67" w:rsidRDefault="0072218E" w:rsidP="0072218E">
            <w:pPr>
              <w:pStyle w:val="ListBullet"/>
              <w:rPr>
                <w:rFonts w:cs="Arial"/>
                <w:b w:val="0"/>
                <w:bCs w:val="0"/>
              </w:rPr>
            </w:pPr>
            <w:r w:rsidRPr="00257A67">
              <w:rPr>
                <w:rFonts w:cs="Arial"/>
                <w:b w:val="0"/>
                <w:bCs w:val="0"/>
              </w:rPr>
              <w:t xml:space="preserve">Procedure type: Type </w:t>
            </w:r>
            <w:r w:rsidR="008507D0" w:rsidRPr="00257A67">
              <w:rPr>
                <w:rFonts w:cs="Arial"/>
                <w:b w:val="0"/>
                <w:bCs w:val="0"/>
              </w:rPr>
              <w:t xml:space="preserve">B </w:t>
            </w:r>
            <w:r w:rsidRPr="00257A67">
              <w:rPr>
                <w:rFonts w:cs="Arial"/>
                <w:b w:val="0"/>
                <w:bCs w:val="0"/>
              </w:rPr>
              <w:t>Procedures</w:t>
            </w:r>
          </w:p>
          <w:p w14:paraId="2BDF063F" w14:textId="78957E79" w:rsidR="005862BB" w:rsidRPr="00257A67" w:rsidRDefault="005862BB" w:rsidP="00487F28">
            <w:pPr>
              <w:pStyle w:val="ListBullet"/>
              <w:numPr>
                <w:ilvl w:val="0"/>
                <w:numId w:val="0"/>
              </w:numPr>
              <w:ind w:left="360"/>
              <w:rPr>
                <w:rFonts w:cs="Arial"/>
              </w:rPr>
            </w:pPr>
          </w:p>
        </w:tc>
      </w:tr>
    </w:tbl>
    <w:bookmarkEnd w:id="2"/>
    <w:p w14:paraId="508B4C47" w14:textId="327AF815" w:rsidR="00BE3ED5" w:rsidRDefault="00012145" w:rsidP="00BE3ED5">
      <w:r>
        <w:t xml:space="preserve">Additional </w:t>
      </w:r>
      <w:r w:rsidRPr="00012145">
        <w:t xml:space="preserve">guidance for this item </w:t>
      </w:r>
      <w:r>
        <w:t xml:space="preserve">is provided </w:t>
      </w:r>
      <w:r w:rsidRPr="00012145">
        <w:t xml:space="preserve">in explanatory note </w:t>
      </w:r>
      <w:hyperlink r:id="rId15" w:history="1">
        <w:r w:rsidRPr="00012145">
          <w:rPr>
            <w:rStyle w:val="Hyperlink"/>
          </w:rPr>
          <w:t>TN1.19</w:t>
        </w:r>
      </w:hyperlink>
    </w:p>
    <w:p w14:paraId="2ED5472A" w14:textId="77777777" w:rsidR="00012145" w:rsidRDefault="00012145" w:rsidP="00BE3ED5"/>
    <w:p w14:paraId="7A410FAE" w14:textId="77777777" w:rsidR="007C31DD" w:rsidRDefault="007C31DD" w:rsidP="007C31DD">
      <w:pPr>
        <w:pStyle w:val="Disclaimer"/>
      </w:pPr>
      <w:r w:rsidRPr="0029176A">
        <w:t xml:space="preserve">Please note that the information provided is a general guide only. It is ultimately the responsibility of treating practitioners to use their professional judgment to determine the most clinically appropriate services to provide, and then to ensure that any services billed to Medicare fully meet the eligibility requirements outlined in the legislation. </w:t>
      </w:r>
    </w:p>
    <w:p w14:paraId="2D03879D" w14:textId="51DED3B5" w:rsidR="007C31DD" w:rsidRDefault="007C31DD" w:rsidP="007C31DD">
      <w:pPr>
        <w:pStyle w:val="Disclaimer"/>
      </w:pPr>
      <w:r w:rsidRPr="0029176A">
        <w:t xml:space="preserve">This </w:t>
      </w:r>
      <w:r w:rsidR="004E5226">
        <w:t>fact</w:t>
      </w:r>
      <w:r w:rsidRPr="0029176A">
        <w:t xml:space="preserve">sheet is current as of the </w:t>
      </w:r>
      <w:r w:rsidR="00176E89">
        <w:t>l</w:t>
      </w:r>
      <w:r w:rsidRPr="0029176A">
        <w:t>ast updated date</w:t>
      </w:r>
      <w:r>
        <w:t xml:space="preserve"> shown above</w:t>
      </w:r>
      <w:r w:rsidRPr="0029176A">
        <w:t xml:space="preserve"> and does not account for MBS changes</w:t>
      </w:r>
      <w:r>
        <w:t xml:space="preserve"> since that date</w:t>
      </w:r>
      <w:r w:rsidRPr="0029176A">
        <w:t>.</w:t>
      </w:r>
    </w:p>
    <w:p w14:paraId="6F71C28A" w14:textId="77777777" w:rsidR="007C31DD" w:rsidRPr="00BE3ED5" w:rsidRDefault="007C31DD" w:rsidP="00BE3ED5"/>
    <w:sectPr w:rsidR="007C31DD" w:rsidRPr="00BE3ED5" w:rsidSect="00B53987">
      <w:headerReference w:type="even" r:id="rId16"/>
      <w:footerReference w:type="even" r:id="rId17"/>
      <w:footerReference w:type="default" r:id="rId18"/>
      <w:headerReference w:type="first" r:id="rId19"/>
      <w:footerReference w:type="first" r:id="rId20"/>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BBA57" w14:textId="77777777" w:rsidR="005133FB" w:rsidRDefault="005133FB" w:rsidP="006B56BB">
      <w:r>
        <w:separator/>
      </w:r>
    </w:p>
    <w:p w14:paraId="557878F7" w14:textId="77777777" w:rsidR="005133FB" w:rsidRDefault="005133FB"/>
  </w:endnote>
  <w:endnote w:type="continuationSeparator" w:id="0">
    <w:p w14:paraId="79195E3D" w14:textId="77777777" w:rsidR="005133FB" w:rsidRDefault="005133FB" w:rsidP="006B56BB">
      <w:r>
        <w:continuationSeparator/>
      </w:r>
    </w:p>
    <w:p w14:paraId="5D41505B" w14:textId="77777777" w:rsidR="005133FB" w:rsidRDefault="005133FB"/>
  </w:endnote>
  <w:endnote w:type="continuationNotice" w:id="1">
    <w:p w14:paraId="04659005" w14:textId="77777777" w:rsidR="005133FB" w:rsidRDefault="005133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EDC29" w14:textId="400D883E" w:rsidR="00593488" w:rsidRDefault="00FB2EFA">
    <w:pPr>
      <w:pStyle w:val="Footer"/>
    </w:pPr>
    <w:r>
      <w:rPr>
        <w:noProof/>
      </w:rPr>
      <mc:AlternateContent>
        <mc:Choice Requires="wps">
          <w:drawing>
            <wp:anchor distT="0" distB="0" distL="0" distR="0" simplePos="0" relativeHeight="251667456" behindDoc="0" locked="0" layoutInCell="1" allowOverlap="1" wp14:anchorId="6230920E" wp14:editId="784F3D5E">
              <wp:simplePos x="635" y="635"/>
              <wp:positionH relativeFrom="page">
                <wp:align>center</wp:align>
              </wp:positionH>
              <wp:positionV relativeFrom="page">
                <wp:align>bottom</wp:align>
              </wp:positionV>
              <wp:extent cx="622300" cy="480695"/>
              <wp:effectExtent l="0" t="0" r="6350" b="0"/>
              <wp:wrapNone/>
              <wp:docPr id="51472730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61770E7" w14:textId="3C53218A" w:rsidR="00FB2EFA" w:rsidRPr="00FB2EFA" w:rsidRDefault="00FB2EFA" w:rsidP="00FB2EFA">
                          <w:pPr>
                            <w:spacing w:after="0"/>
                            <w:rPr>
                              <w:rFonts w:ascii="Aptos" w:eastAsia="Aptos" w:hAnsi="Aptos" w:cs="Aptos"/>
                              <w:noProof/>
                              <w:color w:val="FF0000"/>
                              <w:sz w:val="24"/>
                            </w:rPr>
                          </w:pPr>
                          <w:r w:rsidRPr="00FB2EFA">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30920E" id="_x0000_t202" coordsize="21600,21600" o:spt="202" path="m,l,21600r21600,l21600,xe">
              <v:stroke joinstyle="miter"/>
              <v:path gradientshapeok="t" o:connecttype="rect"/>
            </v:shapetype>
            <v:shape id="Text Box 7" o:spid="_x0000_s1027" type="#_x0000_t202" alt="OFFICIAL" style="position:absolute;left:0;text-align:left;margin-left:0;margin-top:0;width:49pt;height:37.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361770E7" w14:textId="3C53218A" w:rsidR="00FB2EFA" w:rsidRPr="00FB2EFA" w:rsidRDefault="00FB2EFA" w:rsidP="00FB2EFA">
                    <w:pPr>
                      <w:spacing w:after="0"/>
                      <w:rPr>
                        <w:rFonts w:ascii="Aptos" w:eastAsia="Aptos" w:hAnsi="Aptos" w:cs="Aptos"/>
                        <w:noProof/>
                        <w:color w:val="FF0000"/>
                        <w:sz w:val="24"/>
                      </w:rPr>
                    </w:pPr>
                    <w:r w:rsidRPr="00FB2EFA">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E362" w14:textId="08DFF171" w:rsidR="00F51321" w:rsidRPr="00BD1D77" w:rsidRDefault="005133FB" w:rsidP="00F51321">
    <w:pPr>
      <w:pStyle w:val="Footer"/>
      <w:jc w:val="left"/>
      <w:rPr>
        <w:szCs w:val="20"/>
      </w:rPr>
    </w:pPr>
    <w:r>
      <w:rPr>
        <w:rStyle w:val="BookTitle"/>
        <w:rFonts w:eastAsiaTheme="minorEastAsia"/>
        <w:noProof/>
      </w:rPr>
      <w:pict w14:anchorId="79578A0C">
        <v:rect id="_x0000_i1025" style="width:523.3pt;height:1.9pt" o:hralign="center" o:hrstd="t" o:hr="t" fillcolor="#a0a0a0" stroked="f"/>
      </w:pict>
    </w:r>
    <w:r w:rsidR="00F51321" w:rsidRPr="00BD1D77">
      <w:rPr>
        <w:szCs w:val="20"/>
      </w:rPr>
      <w:t>Medicare Benefits Schedule</w:t>
    </w:r>
  </w:p>
  <w:p w14:paraId="1EBE15CC" w14:textId="1F647AC8" w:rsidR="00F51321" w:rsidRPr="00BD1D77" w:rsidRDefault="00616D83" w:rsidP="00487F28">
    <w:pPr>
      <w:pStyle w:val="Footer"/>
      <w:tabs>
        <w:tab w:val="clear" w:pos="9026"/>
        <w:tab w:val="right" w:pos="10466"/>
      </w:tabs>
      <w:jc w:val="left"/>
      <w:rPr>
        <w:szCs w:val="20"/>
      </w:rPr>
    </w:pPr>
    <w:r w:rsidRPr="00616D83">
      <w:rPr>
        <w:b/>
        <w:szCs w:val="20"/>
      </w:rPr>
      <w:t>MBS Item 14245 – Enabling Administration "On Behalf Of" a Medical Practitioner</w:t>
    </w:r>
    <w:r w:rsidR="00F51321" w:rsidRPr="00BD1D77">
      <w:rPr>
        <w:szCs w:val="20"/>
      </w:rPr>
      <w:t xml:space="preserve"> </w:t>
    </w:r>
    <w:sdt>
      <w:sdtPr>
        <w:rPr>
          <w:szCs w:val="20"/>
        </w:rPr>
        <w:id w:val="-1817632189"/>
        <w:docPartObj>
          <w:docPartGallery w:val="Page Numbers (Bottom of Page)"/>
          <w:docPartUnique/>
        </w:docPartObj>
      </w:sdtPr>
      <w:sdtEndPr>
        <w:rPr>
          <w:noProof/>
        </w:rPr>
      </w:sdtEndPr>
      <w:sdtContent>
        <w:r w:rsidR="00F51321" w:rsidRPr="00BD1D77">
          <w:rPr>
            <w:szCs w:val="20"/>
          </w:rPr>
          <w:tab/>
        </w:r>
        <w:sdt>
          <w:sdtPr>
            <w:rPr>
              <w:szCs w:val="20"/>
            </w:rPr>
            <w:id w:val="-1127629339"/>
            <w:docPartObj>
              <w:docPartGallery w:val="Page Numbers (Bottom of Page)"/>
              <w:docPartUnique/>
            </w:docPartObj>
          </w:sdtPr>
          <w:sdtEndPr/>
          <w:sdtContent>
            <w:sdt>
              <w:sdtPr>
                <w:rPr>
                  <w:szCs w:val="20"/>
                </w:rPr>
                <w:id w:val="1762873439"/>
                <w:docPartObj>
                  <w:docPartGallery w:val="Page Numbers (Top of Page)"/>
                  <w:docPartUnique/>
                </w:docPartObj>
              </w:sdtPr>
              <w:sdtEndPr/>
              <w:sdtContent>
                <w:r w:rsidR="00F51321" w:rsidRPr="00BD1D77">
                  <w:rPr>
                    <w:szCs w:val="20"/>
                  </w:rPr>
                  <w:t xml:space="preserve">Page </w:t>
                </w:r>
                <w:r w:rsidR="00F51321" w:rsidRPr="00292535">
                  <w:rPr>
                    <w:bCs/>
                    <w:szCs w:val="20"/>
                  </w:rPr>
                  <w:fldChar w:fldCharType="begin"/>
                </w:r>
                <w:r w:rsidR="00F51321" w:rsidRPr="00BD1D77">
                  <w:rPr>
                    <w:bCs/>
                    <w:szCs w:val="20"/>
                  </w:rPr>
                  <w:instrText xml:space="preserve"> PAGE </w:instrText>
                </w:r>
                <w:r w:rsidR="00F51321" w:rsidRPr="00292535">
                  <w:rPr>
                    <w:bCs/>
                    <w:szCs w:val="20"/>
                  </w:rPr>
                  <w:fldChar w:fldCharType="separate"/>
                </w:r>
                <w:r w:rsidR="00F51321" w:rsidRPr="00292535">
                  <w:rPr>
                    <w:bCs/>
                    <w:szCs w:val="20"/>
                  </w:rPr>
                  <w:t>1</w:t>
                </w:r>
                <w:r w:rsidR="00F51321" w:rsidRPr="00292535">
                  <w:rPr>
                    <w:bCs/>
                    <w:szCs w:val="20"/>
                  </w:rPr>
                  <w:fldChar w:fldCharType="end"/>
                </w:r>
                <w:r w:rsidR="00F51321" w:rsidRPr="00BD1D77">
                  <w:rPr>
                    <w:szCs w:val="20"/>
                  </w:rPr>
                  <w:t xml:space="preserve"> of </w:t>
                </w:r>
                <w:r w:rsidR="00F51321" w:rsidRPr="00292535">
                  <w:rPr>
                    <w:bCs/>
                    <w:szCs w:val="20"/>
                  </w:rPr>
                  <w:fldChar w:fldCharType="begin"/>
                </w:r>
                <w:r w:rsidR="00F51321" w:rsidRPr="00BD1D77">
                  <w:rPr>
                    <w:bCs/>
                    <w:szCs w:val="20"/>
                  </w:rPr>
                  <w:instrText xml:space="preserve"> NUMPAGES  </w:instrText>
                </w:r>
                <w:r w:rsidR="00F51321" w:rsidRPr="00292535">
                  <w:rPr>
                    <w:bCs/>
                    <w:szCs w:val="20"/>
                  </w:rPr>
                  <w:fldChar w:fldCharType="separate"/>
                </w:r>
                <w:r w:rsidR="00F51321" w:rsidRPr="00292535">
                  <w:rPr>
                    <w:bCs/>
                    <w:szCs w:val="20"/>
                  </w:rPr>
                  <w:t>1</w:t>
                </w:r>
                <w:r w:rsidR="00F51321" w:rsidRPr="00292535">
                  <w:rPr>
                    <w:bCs/>
                    <w:szCs w:val="20"/>
                  </w:rPr>
                  <w:fldChar w:fldCharType="end"/>
                </w:r>
              </w:sdtContent>
            </w:sdt>
          </w:sdtContent>
        </w:sdt>
        <w:r w:rsidR="00F51321" w:rsidRPr="00BD1D77">
          <w:rPr>
            <w:szCs w:val="20"/>
          </w:rPr>
          <w:t xml:space="preserve"> </w:t>
        </w:r>
      </w:sdtContent>
    </w:sdt>
  </w:p>
  <w:p w14:paraId="7D56FBDD" w14:textId="71DD0E4E" w:rsidR="00F51321" w:rsidRPr="00BD1D77" w:rsidRDefault="009F5046" w:rsidP="00F51321">
    <w:pPr>
      <w:pStyle w:val="Footer"/>
      <w:jc w:val="left"/>
      <w:rPr>
        <w:rStyle w:val="Hyperlink"/>
        <w:szCs w:val="20"/>
      </w:rPr>
    </w:pPr>
    <w:hyperlink r:id="rId1" w:history="1">
      <w:r w:rsidRPr="00BD1D77">
        <w:rPr>
          <w:rStyle w:val="Hyperlink"/>
          <w:szCs w:val="20"/>
        </w:rPr>
        <w:t>MBS Online</w:t>
      </w:r>
    </w:hyperlink>
  </w:p>
  <w:p w14:paraId="78B91981" w14:textId="5134029C" w:rsidR="00CB03B8" w:rsidRPr="00F51321" w:rsidRDefault="00F51321" w:rsidP="00292535">
    <w:pPr>
      <w:pStyle w:val="Footer"/>
      <w:jc w:val="left"/>
    </w:pPr>
    <w:r w:rsidRPr="00BD1D77">
      <w:rPr>
        <w:szCs w:val="20"/>
      </w:rPr>
      <w:t xml:space="preserve">Last updated – </w:t>
    </w:r>
    <w:r w:rsidR="00E64A5E">
      <w:rPr>
        <w:szCs w:val="20"/>
      </w:rPr>
      <w:t>29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5650" w14:textId="21164F93" w:rsidR="00064168" w:rsidRPr="00BD1D77" w:rsidRDefault="005133FB" w:rsidP="00064168">
    <w:pPr>
      <w:pStyle w:val="Footer"/>
      <w:jc w:val="left"/>
      <w:rPr>
        <w:szCs w:val="20"/>
      </w:rPr>
    </w:pPr>
    <w:r>
      <w:rPr>
        <w:rStyle w:val="BookTitle"/>
        <w:rFonts w:eastAsiaTheme="minorEastAsia"/>
        <w:noProof/>
      </w:rPr>
      <w:pict w14:anchorId="1DB3991B">
        <v:rect id="_x0000_i1026" style="width:523.3pt;height:1.9pt" o:hralign="center" o:hrstd="t" o:hr="t" fillcolor="#a0a0a0" stroked="f"/>
      </w:pict>
    </w:r>
    <w:r w:rsidR="00064168" w:rsidRPr="00BD1D77">
      <w:rPr>
        <w:szCs w:val="20"/>
      </w:rPr>
      <w:t>Medicare Benefits Schedule</w:t>
    </w:r>
  </w:p>
  <w:p w14:paraId="7DCCE2B2" w14:textId="2CDEA42F" w:rsidR="00064168" w:rsidRPr="00BD1D77" w:rsidRDefault="00616D83" w:rsidP="00487F28">
    <w:pPr>
      <w:pStyle w:val="Footer"/>
      <w:tabs>
        <w:tab w:val="clear" w:pos="9026"/>
        <w:tab w:val="right" w:pos="10466"/>
      </w:tabs>
      <w:jc w:val="left"/>
      <w:rPr>
        <w:szCs w:val="20"/>
      </w:rPr>
    </w:pPr>
    <w:r w:rsidRPr="00616D83">
      <w:rPr>
        <w:b/>
        <w:szCs w:val="20"/>
      </w:rPr>
      <w:t>MBS Item 14245 – Enabling Administration "On Behalf Of" a Medical Practitioner</w:t>
    </w:r>
    <w:r w:rsidR="00064168" w:rsidRPr="00BD1D77">
      <w:rPr>
        <w:szCs w:val="20"/>
      </w:rPr>
      <w:t xml:space="preserve"> </w:t>
    </w:r>
    <w:sdt>
      <w:sdtPr>
        <w:rPr>
          <w:szCs w:val="20"/>
        </w:rPr>
        <w:id w:val="960607005"/>
        <w:docPartObj>
          <w:docPartGallery w:val="Page Numbers (Bottom of Page)"/>
          <w:docPartUnique/>
        </w:docPartObj>
      </w:sdtPr>
      <w:sdtEndPr>
        <w:rPr>
          <w:noProof/>
        </w:rPr>
      </w:sdtEndPr>
      <w:sdtContent>
        <w:r w:rsidR="00064168" w:rsidRPr="00BD1D77">
          <w:rPr>
            <w:szCs w:val="20"/>
          </w:rPr>
          <w:tab/>
        </w:r>
        <w:sdt>
          <w:sdtPr>
            <w:rPr>
              <w:szCs w:val="20"/>
            </w:rPr>
            <w:id w:val="-720741692"/>
            <w:docPartObj>
              <w:docPartGallery w:val="Page Numbers (Bottom of Page)"/>
              <w:docPartUnique/>
            </w:docPartObj>
          </w:sdtPr>
          <w:sdtEndPr/>
          <w:sdtContent>
            <w:sdt>
              <w:sdtPr>
                <w:rPr>
                  <w:szCs w:val="20"/>
                </w:rPr>
                <w:id w:val="1701501531"/>
                <w:docPartObj>
                  <w:docPartGallery w:val="Page Numbers (Top of Page)"/>
                  <w:docPartUnique/>
                </w:docPartObj>
              </w:sdtPr>
              <w:sdtEndPr/>
              <w:sdtContent>
                <w:r w:rsidR="00064168" w:rsidRPr="00BD1D77">
                  <w:rPr>
                    <w:szCs w:val="20"/>
                  </w:rPr>
                  <w:t xml:space="preserve">Page </w:t>
                </w:r>
                <w:r w:rsidR="00064168" w:rsidRPr="00292535">
                  <w:rPr>
                    <w:bCs/>
                    <w:szCs w:val="20"/>
                  </w:rPr>
                  <w:fldChar w:fldCharType="begin"/>
                </w:r>
                <w:r w:rsidR="00064168" w:rsidRPr="00BD1D77">
                  <w:rPr>
                    <w:bCs/>
                    <w:szCs w:val="20"/>
                  </w:rPr>
                  <w:instrText xml:space="preserve"> PAGE </w:instrText>
                </w:r>
                <w:r w:rsidR="00064168" w:rsidRPr="00292535">
                  <w:rPr>
                    <w:bCs/>
                    <w:szCs w:val="20"/>
                  </w:rPr>
                  <w:fldChar w:fldCharType="separate"/>
                </w:r>
                <w:r w:rsidR="00064168" w:rsidRPr="00292535">
                  <w:rPr>
                    <w:bCs/>
                    <w:szCs w:val="20"/>
                  </w:rPr>
                  <w:t>1</w:t>
                </w:r>
                <w:r w:rsidR="00064168" w:rsidRPr="00292535">
                  <w:rPr>
                    <w:bCs/>
                    <w:szCs w:val="20"/>
                  </w:rPr>
                  <w:fldChar w:fldCharType="end"/>
                </w:r>
                <w:r w:rsidR="00064168" w:rsidRPr="00BD1D77">
                  <w:rPr>
                    <w:szCs w:val="20"/>
                  </w:rPr>
                  <w:t xml:space="preserve"> of </w:t>
                </w:r>
                <w:r w:rsidR="00064168" w:rsidRPr="00292535">
                  <w:rPr>
                    <w:bCs/>
                    <w:szCs w:val="20"/>
                  </w:rPr>
                  <w:fldChar w:fldCharType="begin"/>
                </w:r>
                <w:r w:rsidR="00064168" w:rsidRPr="00BD1D77">
                  <w:rPr>
                    <w:bCs/>
                    <w:szCs w:val="20"/>
                  </w:rPr>
                  <w:instrText xml:space="preserve"> NUMPAGES  </w:instrText>
                </w:r>
                <w:r w:rsidR="00064168" w:rsidRPr="00292535">
                  <w:rPr>
                    <w:bCs/>
                    <w:szCs w:val="20"/>
                  </w:rPr>
                  <w:fldChar w:fldCharType="separate"/>
                </w:r>
                <w:r w:rsidR="00064168" w:rsidRPr="00292535">
                  <w:rPr>
                    <w:bCs/>
                    <w:szCs w:val="20"/>
                  </w:rPr>
                  <w:t>1</w:t>
                </w:r>
                <w:r w:rsidR="00064168" w:rsidRPr="00292535">
                  <w:rPr>
                    <w:bCs/>
                    <w:szCs w:val="20"/>
                  </w:rPr>
                  <w:fldChar w:fldCharType="end"/>
                </w:r>
              </w:sdtContent>
            </w:sdt>
          </w:sdtContent>
        </w:sdt>
        <w:r w:rsidR="00064168" w:rsidRPr="00BD1D77">
          <w:rPr>
            <w:szCs w:val="20"/>
          </w:rPr>
          <w:t xml:space="preserve"> </w:t>
        </w:r>
      </w:sdtContent>
    </w:sdt>
  </w:p>
  <w:p w14:paraId="3821CA3D" w14:textId="57B3B071" w:rsidR="00064168" w:rsidRPr="00BD1D77" w:rsidRDefault="009F5046" w:rsidP="00064168">
    <w:pPr>
      <w:pStyle w:val="Footer"/>
      <w:jc w:val="left"/>
      <w:rPr>
        <w:rStyle w:val="Hyperlink"/>
        <w:szCs w:val="20"/>
      </w:rPr>
    </w:pPr>
    <w:hyperlink r:id="rId1" w:history="1">
      <w:r w:rsidRPr="00BD1D77">
        <w:rPr>
          <w:rStyle w:val="Hyperlink"/>
          <w:szCs w:val="20"/>
        </w:rPr>
        <w:t>MBS Online</w:t>
      </w:r>
    </w:hyperlink>
  </w:p>
  <w:p w14:paraId="03585E81" w14:textId="26387AB7" w:rsidR="00064168" w:rsidRPr="00BD1D77" w:rsidRDefault="00064168" w:rsidP="00064168">
    <w:pPr>
      <w:pStyle w:val="Footer"/>
      <w:jc w:val="left"/>
      <w:rPr>
        <w:szCs w:val="20"/>
      </w:rPr>
    </w:pPr>
    <w:r w:rsidRPr="00BD1D77">
      <w:rPr>
        <w:szCs w:val="20"/>
      </w:rPr>
      <w:t xml:space="preserve">Last updated – </w:t>
    </w:r>
    <w:r w:rsidR="00E64A5E">
      <w:rPr>
        <w:szCs w:val="20"/>
      </w:rPr>
      <w:t>29 October</w:t>
    </w:r>
    <w:r w:rsidR="00616D83">
      <w:rPr>
        <w:szCs w:val="20"/>
      </w:rPr>
      <w:t xml:space="preserve"> 2026</w:t>
    </w:r>
  </w:p>
  <w:p w14:paraId="2964AB57" w14:textId="77777777" w:rsidR="00CB03B8" w:rsidRPr="00064168" w:rsidRDefault="00CB03B8" w:rsidP="0006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BDD16" w14:textId="77777777" w:rsidR="005133FB" w:rsidRDefault="005133FB" w:rsidP="006B56BB">
      <w:r>
        <w:separator/>
      </w:r>
    </w:p>
    <w:p w14:paraId="1FED6F5C" w14:textId="77777777" w:rsidR="005133FB" w:rsidRDefault="005133FB"/>
  </w:footnote>
  <w:footnote w:type="continuationSeparator" w:id="0">
    <w:p w14:paraId="0FEBB85A" w14:textId="77777777" w:rsidR="005133FB" w:rsidRDefault="005133FB" w:rsidP="006B56BB">
      <w:r>
        <w:continuationSeparator/>
      </w:r>
    </w:p>
    <w:p w14:paraId="610BFF2E" w14:textId="77777777" w:rsidR="005133FB" w:rsidRDefault="005133FB"/>
  </w:footnote>
  <w:footnote w:type="continuationNotice" w:id="1">
    <w:p w14:paraId="2E21D08B" w14:textId="77777777" w:rsidR="005133FB" w:rsidRDefault="005133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8AB9" w14:textId="41CD0C26" w:rsidR="00593488" w:rsidRDefault="00FB2EFA">
    <w:pPr>
      <w:pStyle w:val="Header"/>
    </w:pPr>
    <w:r>
      <w:rPr>
        <w:noProof/>
      </w:rPr>
      <mc:AlternateContent>
        <mc:Choice Requires="wps">
          <w:drawing>
            <wp:anchor distT="0" distB="0" distL="0" distR="0" simplePos="0" relativeHeight="251664384" behindDoc="0" locked="0" layoutInCell="1" allowOverlap="1" wp14:anchorId="7257F08F" wp14:editId="4A2C74F2">
              <wp:simplePos x="635" y="635"/>
              <wp:positionH relativeFrom="page">
                <wp:align>center</wp:align>
              </wp:positionH>
              <wp:positionV relativeFrom="page">
                <wp:align>top</wp:align>
              </wp:positionV>
              <wp:extent cx="622300" cy="480695"/>
              <wp:effectExtent l="0" t="0" r="6350" b="14605"/>
              <wp:wrapNone/>
              <wp:docPr id="94726262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058D1D2" w14:textId="1A765635" w:rsidR="00FB2EFA" w:rsidRPr="00FB2EFA" w:rsidRDefault="00FB2EFA" w:rsidP="00FB2EFA">
                          <w:pPr>
                            <w:spacing w:after="0"/>
                            <w:rPr>
                              <w:rFonts w:ascii="Aptos" w:eastAsia="Aptos" w:hAnsi="Aptos" w:cs="Aptos"/>
                              <w:noProof/>
                              <w:color w:val="FF0000"/>
                              <w:sz w:val="24"/>
                            </w:rPr>
                          </w:pPr>
                          <w:r w:rsidRPr="00FB2EFA">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57F08F" id="_x0000_t202" coordsize="21600,21600" o:spt="202" path="m,l,21600r21600,l21600,xe">
              <v:stroke joinstyle="miter"/>
              <v:path gradientshapeok="t" o:connecttype="rect"/>
            </v:shapetype>
            <v:shape id="Text Box 4" o:spid="_x0000_s1026" type="#_x0000_t202" alt="OFFICIAL" style="position:absolute;margin-left:0;margin-top:0;width:49pt;height:37.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7058D1D2" w14:textId="1A765635" w:rsidR="00FB2EFA" w:rsidRPr="00FB2EFA" w:rsidRDefault="00FB2EFA" w:rsidP="00FB2EFA">
                    <w:pPr>
                      <w:spacing w:after="0"/>
                      <w:rPr>
                        <w:rFonts w:ascii="Aptos" w:eastAsia="Aptos" w:hAnsi="Aptos" w:cs="Aptos"/>
                        <w:noProof/>
                        <w:color w:val="FF0000"/>
                        <w:sz w:val="24"/>
                      </w:rPr>
                    </w:pPr>
                    <w:r w:rsidRPr="00FB2EFA">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33E8" w14:textId="7EA4C279" w:rsidR="00B53987" w:rsidRDefault="00696A32">
    <w:pPr>
      <w:pStyle w:val="Header"/>
    </w:pPr>
    <w:r>
      <w:rPr>
        <w:noProof/>
        <w:lang w:eastAsia="en-AU"/>
      </w:rPr>
      <w:drawing>
        <wp:inline distT="0" distB="0" distL="0" distR="0" wp14:anchorId="0B073610" wp14:editId="11C595F2">
          <wp:extent cx="3343275" cy="533400"/>
          <wp:effectExtent l="0" t="0" r="9525" b="0"/>
          <wp:docPr id="1207914144" name="Picture 1" descr="Australian Government Department of Health, Disability and Ageing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Australian Government Department of Health, Disability and Ageing lo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6C141A"/>
    <w:multiLevelType w:val="hybridMultilevel"/>
    <w:tmpl w:val="E1540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B722292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E35A91"/>
    <w:multiLevelType w:val="hybridMultilevel"/>
    <w:tmpl w:val="160AEE90"/>
    <w:lvl w:ilvl="0" w:tplc="B0728626">
      <w:start w:val="1"/>
      <w:numFmt w:val="bullet"/>
      <w:pStyle w:val="ListBullet"/>
      <w:lvlText w:val=""/>
      <w:lvlJc w:val="left"/>
      <w:pPr>
        <w:ind w:left="360" w:hanging="360"/>
      </w:pPr>
      <w:rPr>
        <w:rFonts w:ascii="Symbol" w:hAnsi="Symbol" w:hint="default"/>
        <w:color w:val="358189" w:themeColor="accent2"/>
        <w:spacing w:val="0"/>
        <w:w w:val="100"/>
        <w:sz w:val="24"/>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22339F"/>
    <w:multiLevelType w:val="hybridMultilevel"/>
    <w:tmpl w:val="1F2AE7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7"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144784398">
    <w:abstractNumId w:val="7"/>
  </w:num>
  <w:num w:numId="2" w16cid:durableId="320935821">
    <w:abstractNumId w:val="18"/>
  </w:num>
  <w:num w:numId="3" w16cid:durableId="1161390217">
    <w:abstractNumId w:val="20"/>
  </w:num>
  <w:num w:numId="4" w16cid:durableId="1616522112">
    <w:abstractNumId w:val="8"/>
  </w:num>
  <w:num w:numId="5" w16cid:durableId="1326863177">
    <w:abstractNumId w:val="8"/>
    <w:lvlOverride w:ilvl="0">
      <w:startOverride w:val="1"/>
    </w:lvlOverride>
  </w:num>
  <w:num w:numId="6" w16cid:durableId="312683612">
    <w:abstractNumId w:val="9"/>
  </w:num>
  <w:num w:numId="7" w16cid:durableId="816721464">
    <w:abstractNumId w:val="16"/>
  </w:num>
  <w:num w:numId="8" w16cid:durableId="565603559">
    <w:abstractNumId w:val="19"/>
  </w:num>
  <w:num w:numId="9" w16cid:durableId="16275133">
    <w:abstractNumId w:val="5"/>
  </w:num>
  <w:num w:numId="10" w16cid:durableId="1845627467">
    <w:abstractNumId w:val="4"/>
  </w:num>
  <w:num w:numId="11" w16cid:durableId="612246186">
    <w:abstractNumId w:val="3"/>
  </w:num>
  <w:num w:numId="12" w16cid:durableId="1843860544">
    <w:abstractNumId w:val="2"/>
  </w:num>
  <w:num w:numId="13" w16cid:durableId="1116094120">
    <w:abstractNumId w:val="6"/>
  </w:num>
  <w:num w:numId="14" w16cid:durableId="230390797">
    <w:abstractNumId w:val="1"/>
  </w:num>
  <w:num w:numId="15" w16cid:durableId="1115446494">
    <w:abstractNumId w:val="0"/>
  </w:num>
  <w:num w:numId="16" w16cid:durableId="2086369406">
    <w:abstractNumId w:val="21"/>
  </w:num>
  <w:num w:numId="17" w16cid:durableId="2113471318">
    <w:abstractNumId w:val="11"/>
  </w:num>
  <w:num w:numId="18" w16cid:durableId="828592903">
    <w:abstractNumId w:val="13"/>
  </w:num>
  <w:num w:numId="19" w16cid:durableId="1273391997">
    <w:abstractNumId w:val="15"/>
  </w:num>
  <w:num w:numId="20" w16cid:durableId="2041469188">
    <w:abstractNumId w:val="11"/>
  </w:num>
  <w:num w:numId="21" w16cid:durableId="120997448">
    <w:abstractNumId w:val="15"/>
  </w:num>
  <w:num w:numId="22" w16cid:durableId="1088427743">
    <w:abstractNumId w:val="21"/>
  </w:num>
  <w:num w:numId="23" w16cid:durableId="111368400">
    <w:abstractNumId w:val="18"/>
  </w:num>
  <w:num w:numId="24" w16cid:durableId="815339056">
    <w:abstractNumId w:val="20"/>
  </w:num>
  <w:num w:numId="25" w16cid:durableId="743180995">
    <w:abstractNumId w:val="8"/>
  </w:num>
  <w:num w:numId="26" w16cid:durableId="320358050">
    <w:abstractNumId w:val="17"/>
  </w:num>
  <w:num w:numId="27" w16cid:durableId="508569404">
    <w:abstractNumId w:val="12"/>
  </w:num>
  <w:num w:numId="28" w16cid:durableId="1416364898">
    <w:abstractNumId w:val="14"/>
  </w:num>
  <w:num w:numId="29" w16cid:durableId="100344043">
    <w:abstractNumId w:val="10"/>
  </w:num>
  <w:num w:numId="30" w16cid:durableId="1575821124">
    <w:abstractNumId w:val="12"/>
  </w:num>
  <w:num w:numId="31" w16cid:durableId="5162388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168"/>
    <w:rsid w:val="00003743"/>
    <w:rsid w:val="000047B4"/>
    <w:rsid w:val="00005712"/>
    <w:rsid w:val="00007FD8"/>
    <w:rsid w:val="00010E9B"/>
    <w:rsid w:val="000111ED"/>
    <w:rsid w:val="000117F8"/>
    <w:rsid w:val="00012145"/>
    <w:rsid w:val="0001460F"/>
    <w:rsid w:val="00022629"/>
    <w:rsid w:val="00024DFE"/>
    <w:rsid w:val="00026139"/>
    <w:rsid w:val="00027601"/>
    <w:rsid w:val="00033321"/>
    <w:rsid w:val="000338E5"/>
    <w:rsid w:val="00033ECC"/>
    <w:rsid w:val="0003422F"/>
    <w:rsid w:val="00036F66"/>
    <w:rsid w:val="00046911"/>
    <w:rsid w:val="00046FF0"/>
    <w:rsid w:val="00050176"/>
    <w:rsid w:val="00050342"/>
    <w:rsid w:val="000521C7"/>
    <w:rsid w:val="00056A81"/>
    <w:rsid w:val="00064168"/>
    <w:rsid w:val="00067456"/>
    <w:rsid w:val="00071506"/>
    <w:rsid w:val="0007154F"/>
    <w:rsid w:val="00080BAC"/>
    <w:rsid w:val="00081AB1"/>
    <w:rsid w:val="00081CA3"/>
    <w:rsid w:val="00090316"/>
    <w:rsid w:val="00091802"/>
    <w:rsid w:val="00093981"/>
    <w:rsid w:val="00093C4E"/>
    <w:rsid w:val="00094C58"/>
    <w:rsid w:val="000B067A"/>
    <w:rsid w:val="000B1540"/>
    <w:rsid w:val="000B1E53"/>
    <w:rsid w:val="000B2849"/>
    <w:rsid w:val="000B33FD"/>
    <w:rsid w:val="000B4ABA"/>
    <w:rsid w:val="000B5E99"/>
    <w:rsid w:val="000B7029"/>
    <w:rsid w:val="000C0475"/>
    <w:rsid w:val="000C4B16"/>
    <w:rsid w:val="000C50C3"/>
    <w:rsid w:val="000C5E14"/>
    <w:rsid w:val="000D21F6"/>
    <w:rsid w:val="000D3EEC"/>
    <w:rsid w:val="000D4500"/>
    <w:rsid w:val="000D7AEA"/>
    <w:rsid w:val="000E2C66"/>
    <w:rsid w:val="000F123C"/>
    <w:rsid w:val="000F2FED"/>
    <w:rsid w:val="0010616D"/>
    <w:rsid w:val="00110478"/>
    <w:rsid w:val="00111901"/>
    <w:rsid w:val="0011711B"/>
    <w:rsid w:val="00117F8A"/>
    <w:rsid w:val="001210F8"/>
    <w:rsid w:val="00121B9B"/>
    <w:rsid w:val="00122ADC"/>
    <w:rsid w:val="001245EF"/>
    <w:rsid w:val="00130F59"/>
    <w:rsid w:val="00133EC0"/>
    <w:rsid w:val="00141CE5"/>
    <w:rsid w:val="001427CD"/>
    <w:rsid w:val="00144908"/>
    <w:rsid w:val="00147509"/>
    <w:rsid w:val="00156D96"/>
    <w:rsid w:val="001571C7"/>
    <w:rsid w:val="00161094"/>
    <w:rsid w:val="0017665C"/>
    <w:rsid w:val="00176E89"/>
    <w:rsid w:val="0017709E"/>
    <w:rsid w:val="00177AD2"/>
    <w:rsid w:val="001815A8"/>
    <w:rsid w:val="001840FA"/>
    <w:rsid w:val="001873B1"/>
    <w:rsid w:val="00190079"/>
    <w:rsid w:val="0019622E"/>
    <w:rsid w:val="001966A7"/>
    <w:rsid w:val="0019761F"/>
    <w:rsid w:val="001A2646"/>
    <w:rsid w:val="001A4627"/>
    <w:rsid w:val="001A4979"/>
    <w:rsid w:val="001A5254"/>
    <w:rsid w:val="001A624F"/>
    <w:rsid w:val="001B15D3"/>
    <w:rsid w:val="001B2889"/>
    <w:rsid w:val="001B3443"/>
    <w:rsid w:val="001C0326"/>
    <w:rsid w:val="001C192F"/>
    <w:rsid w:val="001C3276"/>
    <w:rsid w:val="001C3C42"/>
    <w:rsid w:val="001D7869"/>
    <w:rsid w:val="001F13AA"/>
    <w:rsid w:val="001F38B4"/>
    <w:rsid w:val="001F3920"/>
    <w:rsid w:val="001F76C6"/>
    <w:rsid w:val="002026CD"/>
    <w:rsid w:val="002033FC"/>
    <w:rsid w:val="002044BB"/>
    <w:rsid w:val="00210B09"/>
    <w:rsid w:val="00210C9E"/>
    <w:rsid w:val="00211840"/>
    <w:rsid w:val="00220E5F"/>
    <w:rsid w:val="002212B5"/>
    <w:rsid w:val="00226668"/>
    <w:rsid w:val="00233809"/>
    <w:rsid w:val="00237A42"/>
    <w:rsid w:val="00240046"/>
    <w:rsid w:val="00242D68"/>
    <w:rsid w:val="0024650C"/>
    <w:rsid w:val="0024797F"/>
    <w:rsid w:val="00247D9B"/>
    <w:rsid w:val="0025119E"/>
    <w:rsid w:val="00251269"/>
    <w:rsid w:val="00252AB3"/>
    <w:rsid w:val="002535C0"/>
    <w:rsid w:val="002579FE"/>
    <w:rsid w:val="00257A67"/>
    <w:rsid w:val="00260552"/>
    <w:rsid w:val="0026311C"/>
    <w:rsid w:val="00263BC3"/>
    <w:rsid w:val="0026668C"/>
    <w:rsid w:val="00266AC1"/>
    <w:rsid w:val="0027178C"/>
    <w:rsid w:val="00271954"/>
    <w:rsid w:val="002719FA"/>
    <w:rsid w:val="00272668"/>
    <w:rsid w:val="0027330B"/>
    <w:rsid w:val="00276CB4"/>
    <w:rsid w:val="002803AD"/>
    <w:rsid w:val="00282052"/>
    <w:rsid w:val="00282EAC"/>
    <w:rsid w:val="002831A3"/>
    <w:rsid w:val="0028519E"/>
    <w:rsid w:val="00285623"/>
    <w:rsid w:val="002856A5"/>
    <w:rsid w:val="002872ED"/>
    <w:rsid w:val="002905C2"/>
    <w:rsid w:val="00290DE0"/>
    <w:rsid w:val="00292535"/>
    <w:rsid w:val="0029405D"/>
    <w:rsid w:val="00295AF2"/>
    <w:rsid w:val="00295C91"/>
    <w:rsid w:val="00297151"/>
    <w:rsid w:val="002A4B0C"/>
    <w:rsid w:val="002B20E6"/>
    <w:rsid w:val="002B42A3"/>
    <w:rsid w:val="002C0CDD"/>
    <w:rsid w:val="002C38C4"/>
    <w:rsid w:val="002C46AA"/>
    <w:rsid w:val="002D65A2"/>
    <w:rsid w:val="002E1A1D"/>
    <w:rsid w:val="002E4081"/>
    <w:rsid w:val="002E5B78"/>
    <w:rsid w:val="002F1C30"/>
    <w:rsid w:val="002F3AE3"/>
    <w:rsid w:val="0030464B"/>
    <w:rsid w:val="0030786C"/>
    <w:rsid w:val="00317B29"/>
    <w:rsid w:val="003213BD"/>
    <w:rsid w:val="003233DE"/>
    <w:rsid w:val="0032466B"/>
    <w:rsid w:val="003330EB"/>
    <w:rsid w:val="00333C73"/>
    <w:rsid w:val="00335CE7"/>
    <w:rsid w:val="0033699A"/>
    <w:rsid w:val="003415FD"/>
    <w:rsid w:val="003429F0"/>
    <w:rsid w:val="00345A82"/>
    <w:rsid w:val="0035097A"/>
    <w:rsid w:val="003528A8"/>
    <w:rsid w:val="00353C8E"/>
    <w:rsid w:val="003540A4"/>
    <w:rsid w:val="00357BCC"/>
    <w:rsid w:val="00360E4E"/>
    <w:rsid w:val="00370AAA"/>
    <w:rsid w:val="00374500"/>
    <w:rsid w:val="00375F77"/>
    <w:rsid w:val="00381BBE"/>
    <w:rsid w:val="00382903"/>
    <w:rsid w:val="003832F8"/>
    <w:rsid w:val="003846FF"/>
    <w:rsid w:val="003857D4"/>
    <w:rsid w:val="00385AD4"/>
    <w:rsid w:val="00385C01"/>
    <w:rsid w:val="00387924"/>
    <w:rsid w:val="0039177D"/>
    <w:rsid w:val="0039384D"/>
    <w:rsid w:val="00395C23"/>
    <w:rsid w:val="003A2E4F"/>
    <w:rsid w:val="003A4438"/>
    <w:rsid w:val="003A5013"/>
    <w:rsid w:val="003A5078"/>
    <w:rsid w:val="003A62DD"/>
    <w:rsid w:val="003A65EA"/>
    <w:rsid w:val="003A775A"/>
    <w:rsid w:val="003B213A"/>
    <w:rsid w:val="003B2E5D"/>
    <w:rsid w:val="003B43AD"/>
    <w:rsid w:val="003C0FEC"/>
    <w:rsid w:val="003C2AC8"/>
    <w:rsid w:val="003D033A"/>
    <w:rsid w:val="003D17F9"/>
    <w:rsid w:val="003D2D88"/>
    <w:rsid w:val="003D419D"/>
    <w:rsid w:val="003D41EA"/>
    <w:rsid w:val="003D4850"/>
    <w:rsid w:val="003D535A"/>
    <w:rsid w:val="003D7B09"/>
    <w:rsid w:val="003E2ABC"/>
    <w:rsid w:val="003E5265"/>
    <w:rsid w:val="003F08F4"/>
    <w:rsid w:val="003F0955"/>
    <w:rsid w:val="003F0F91"/>
    <w:rsid w:val="003F1F00"/>
    <w:rsid w:val="003F3061"/>
    <w:rsid w:val="003F5F4D"/>
    <w:rsid w:val="003F646F"/>
    <w:rsid w:val="00400F00"/>
    <w:rsid w:val="0040241A"/>
    <w:rsid w:val="00404F8B"/>
    <w:rsid w:val="00405256"/>
    <w:rsid w:val="00405ADD"/>
    <w:rsid w:val="00410031"/>
    <w:rsid w:val="00415C81"/>
    <w:rsid w:val="00417035"/>
    <w:rsid w:val="00432378"/>
    <w:rsid w:val="00440D65"/>
    <w:rsid w:val="00442EFF"/>
    <w:rsid w:val="004435E6"/>
    <w:rsid w:val="00447E31"/>
    <w:rsid w:val="00453923"/>
    <w:rsid w:val="00454B9B"/>
    <w:rsid w:val="004562E9"/>
    <w:rsid w:val="00457858"/>
    <w:rsid w:val="00460B0B"/>
    <w:rsid w:val="00461023"/>
    <w:rsid w:val="00462FAC"/>
    <w:rsid w:val="00464631"/>
    <w:rsid w:val="00464B79"/>
    <w:rsid w:val="0046644F"/>
    <w:rsid w:val="00467BBF"/>
    <w:rsid w:val="0048593C"/>
    <w:rsid w:val="004867E2"/>
    <w:rsid w:val="00487970"/>
    <w:rsid w:val="00487F28"/>
    <w:rsid w:val="00490FFF"/>
    <w:rsid w:val="004929A9"/>
    <w:rsid w:val="004A78D9"/>
    <w:rsid w:val="004C1BCD"/>
    <w:rsid w:val="004C6966"/>
    <w:rsid w:val="004C6BCF"/>
    <w:rsid w:val="004D58BF"/>
    <w:rsid w:val="004D5E3F"/>
    <w:rsid w:val="004E293A"/>
    <w:rsid w:val="004E4335"/>
    <w:rsid w:val="004E5226"/>
    <w:rsid w:val="004F13EE"/>
    <w:rsid w:val="004F2022"/>
    <w:rsid w:val="004F7C05"/>
    <w:rsid w:val="00501642"/>
    <w:rsid w:val="00501C94"/>
    <w:rsid w:val="00506432"/>
    <w:rsid w:val="00506E82"/>
    <w:rsid w:val="00511FBD"/>
    <w:rsid w:val="005133FB"/>
    <w:rsid w:val="0052051D"/>
    <w:rsid w:val="00525479"/>
    <w:rsid w:val="00545EE6"/>
    <w:rsid w:val="005550E7"/>
    <w:rsid w:val="005564FB"/>
    <w:rsid w:val="0055706A"/>
    <w:rsid w:val="005572C7"/>
    <w:rsid w:val="00564721"/>
    <w:rsid w:val="005650ED"/>
    <w:rsid w:val="00565BE2"/>
    <w:rsid w:val="00566B81"/>
    <w:rsid w:val="00575754"/>
    <w:rsid w:val="00581FBA"/>
    <w:rsid w:val="005858A4"/>
    <w:rsid w:val="005862BB"/>
    <w:rsid w:val="00591E20"/>
    <w:rsid w:val="005920E7"/>
    <w:rsid w:val="00593488"/>
    <w:rsid w:val="00595408"/>
    <w:rsid w:val="00595E84"/>
    <w:rsid w:val="005A0C59"/>
    <w:rsid w:val="005A48EB"/>
    <w:rsid w:val="005A6CFB"/>
    <w:rsid w:val="005C4B3E"/>
    <w:rsid w:val="005C5AEB"/>
    <w:rsid w:val="005C657F"/>
    <w:rsid w:val="005D5F4E"/>
    <w:rsid w:val="005D7817"/>
    <w:rsid w:val="005E0A3F"/>
    <w:rsid w:val="005E1AF9"/>
    <w:rsid w:val="005E2D76"/>
    <w:rsid w:val="005E659D"/>
    <w:rsid w:val="005E6883"/>
    <w:rsid w:val="005E772F"/>
    <w:rsid w:val="005F4ECA"/>
    <w:rsid w:val="006041BE"/>
    <w:rsid w:val="006043C7"/>
    <w:rsid w:val="00613106"/>
    <w:rsid w:val="00616D83"/>
    <w:rsid w:val="00623862"/>
    <w:rsid w:val="00624B52"/>
    <w:rsid w:val="00625439"/>
    <w:rsid w:val="00630794"/>
    <w:rsid w:val="00631DF4"/>
    <w:rsid w:val="00631FB2"/>
    <w:rsid w:val="00634175"/>
    <w:rsid w:val="0063574E"/>
    <w:rsid w:val="006408AC"/>
    <w:rsid w:val="00642F20"/>
    <w:rsid w:val="006466D6"/>
    <w:rsid w:val="0065089B"/>
    <w:rsid w:val="006511B6"/>
    <w:rsid w:val="00657FF8"/>
    <w:rsid w:val="0066598A"/>
    <w:rsid w:val="00670D99"/>
    <w:rsid w:val="00670E2B"/>
    <w:rsid w:val="006734BB"/>
    <w:rsid w:val="00674BED"/>
    <w:rsid w:val="006758B7"/>
    <w:rsid w:val="0067697A"/>
    <w:rsid w:val="006821EB"/>
    <w:rsid w:val="00693A51"/>
    <w:rsid w:val="00696A32"/>
    <w:rsid w:val="006A0C0C"/>
    <w:rsid w:val="006A0CD2"/>
    <w:rsid w:val="006A15A0"/>
    <w:rsid w:val="006B2286"/>
    <w:rsid w:val="006B281E"/>
    <w:rsid w:val="006B56BB"/>
    <w:rsid w:val="006C085B"/>
    <w:rsid w:val="006C0AE2"/>
    <w:rsid w:val="006C57B8"/>
    <w:rsid w:val="006C5F63"/>
    <w:rsid w:val="006C77A8"/>
    <w:rsid w:val="006D22A7"/>
    <w:rsid w:val="006D4098"/>
    <w:rsid w:val="006D67F4"/>
    <w:rsid w:val="006D7681"/>
    <w:rsid w:val="006D7B2E"/>
    <w:rsid w:val="006E02EA"/>
    <w:rsid w:val="006E0968"/>
    <w:rsid w:val="006E2AF6"/>
    <w:rsid w:val="006F1107"/>
    <w:rsid w:val="006F5073"/>
    <w:rsid w:val="006F5216"/>
    <w:rsid w:val="00701275"/>
    <w:rsid w:val="00707F56"/>
    <w:rsid w:val="00713558"/>
    <w:rsid w:val="00720D08"/>
    <w:rsid w:val="0072218E"/>
    <w:rsid w:val="007263B9"/>
    <w:rsid w:val="007334F8"/>
    <w:rsid w:val="007339CD"/>
    <w:rsid w:val="007359D8"/>
    <w:rsid w:val="007362D4"/>
    <w:rsid w:val="00741AC2"/>
    <w:rsid w:val="00744B30"/>
    <w:rsid w:val="00746C16"/>
    <w:rsid w:val="0075614F"/>
    <w:rsid w:val="007562B4"/>
    <w:rsid w:val="0076672A"/>
    <w:rsid w:val="00775E45"/>
    <w:rsid w:val="00776E74"/>
    <w:rsid w:val="00785169"/>
    <w:rsid w:val="00793F7C"/>
    <w:rsid w:val="007954AB"/>
    <w:rsid w:val="007A14C5"/>
    <w:rsid w:val="007A4A10"/>
    <w:rsid w:val="007B1750"/>
    <w:rsid w:val="007B1760"/>
    <w:rsid w:val="007B182D"/>
    <w:rsid w:val="007C1FDC"/>
    <w:rsid w:val="007C31DD"/>
    <w:rsid w:val="007C32D9"/>
    <w:rsid w:val="007C3422"/>
    <w:rsid w:val="007C343D"/>
    <w:rsid w:val="007C6D9C"/>
    <w:rsid w:val="007C7DDB"/>
    <w:rsid w:val="007D2CC7"/>
    <w:rsid w:val="007D673D"/>
    <w:rsid w:val="007E0068"/>
    <w:rsid w:val="007E0FB8"/>
    <w:rsid w:val="007E4D09"/>
    <w:rsid w:val="007E631A"/>
    <w:rsid w:val="007F2220"/>
    <w:rsid w:val="007F4B3E"/>
    <w:rsid w:val="00803531"/>
    <w:rsid w:val="00804BB3"/>
    <w:rsid w:val="008127AF"/>
    <w:rsid w:val="00812B46"/>
    <w:rsid w:val="00815700"/>
    <w:rsid w:val="00821974"/>
    <w:rsid w:val="0082246B"/>
    <w:rsid w:val="008264EB"/>
    <w:rsid w:val="00826B8F"/>
    <w:rsid w:val="00830C2B"/>
    <w:rsid w:val="00830F97"/>
    <w:rsid w:val="00831E8A"/>
    <w:rsid w:val="00834413"/>
    <w:rsid w:val="00835376"/>
    <w:rsid w:val="0083595B"/>
    <w:rsid w:val="00835C76"/>
    <w:rsid w:val="008376E2"/>
    <w:rsid w:val="00842263"/>
    <w:rsid w:val="00843049"/>
    <w:rsid w:val="008437CA"/>
    <w:rsid w:val="008507D0"/>
    <w:rsid w:val="0085209B"/>
    <w:rsid w:val="00856B66"/>
    <w:rsid w:val="008601AC"/>
    <w:rsid w:val="008605A5"/>
    <w:rsid w:val="00861A5F"/>
    <w:rsid w:val="008644AD"/>
    <w:rsid w:val="00865735"/>
    <w:rsid w:val="00865DDB"/>
    <w:rsid w:val="00867538"/>
    <w:rsid w:val="00873D90"/>
    <w:rsid w:val="00873FC8"/>
    <w:rsid w:val="00884AC8"/>
    <w:rsid w:val="00884C63"/>
    <w:rsid w:val="00885908"/>
    <w:rsid w:val="008864B7"/>
    <w:rsid w:val="0089677E"/>
    <w:rsid w:val="008A1AE4"/>
    <w:rsid w:val="008A343A"/>
    <w:rsid w:val="008A47EB"/>
    <w:rsid w:val="008A7438"/>
    <w:rsid w:val="008B1334"/>
    <w:rsid w:val="008B25C7"/>
    <w:rsid w:val="008C0278"/>
    <w:rsid w:val="008C24E9"/>
    <w:rsid w:val="008C63C4"/>
    <w:rsid w:val="008D0533"/>
    <w:rsid w:val="008D42CB"/>
    <w:rsid w:val="008D48C9"/>
    <w:rsid w:val="008D6381"/>
    <w:rsid w:val="008E007D"/>
    <w:rsid w:val="008E0C77"/>
    <w:rsid w:val="008E625F"/>
    <w:rsid w:val="008F264D"/>
    <w:rsid w:val="009040E9"/>
    <w:rsid w:val="009074E1"/>
    <w:rsid w:val="00910EEB"/>
    <w:rsid w:val="009112F7"/>
    <w:rsid w:val="00911E4B"/>
    <w:rsid w:val="009122AF"/>
    <w:rsid w:val="00912D54"/>
    <w:rsid w:val="0091389F"/>
    <w:rsid w:val="009208F7"/>
    <w:rsid w:val="00920EB4"/>
    <w:rsid w:val="00921649"/>
    <w:rsid w:val="00922517"/>
    <w:rsid w:val="00922722"/>
    <w:rsid w:val="009261E6"/>
    <w:rsid w:val="009268E1"/>
    <w:rsid w:val="009271EE"/>
    <w:rsid w:val="0093226A"/>
    <w:rsid w:val="009344AE"/>
    <w:rsid w:val="009344DE"/>
    <w:rsid w:val="00945E7F"/>
    <w:rsid w:val="009518C7"/>
    <w:rsid w:val="009557C1"/>
    <w:rsid w:val="00960D6E"/>
    <w:rsid w:val="0096639D"/>
    <w:rsid w:val="00974B59"/>
    <w:rsid w:val="00980D09"/>
    <w:rsid w:val="0098166B"/>
    <w:rsid w:val="0098340B"/>
    <w:rsid w:val="00986830"/>
    <w:rsid w:val="009924C3"/>
    <w:rsid w:val="00993102"/>
    <w:rsid w:val="009973F7"/>
    <w:rsid w:val="009B1570"/>
    <w:rsid w:val="009C696D"/>
    <w:rsid w:val="009C6F10"/>
    <w:rsid w:val="009D148F"/>
    <w:rsid w:val="009D3D70"/>
    <w:rsid w:val="009E55AF"/>
    <w:rsid w:val="009E6F7E"/>
    <w:rsid w:val="009E7A57"/>
    <w:rsid w:val="009F0CD7"/>
    <w:rsid w:val="009F4803"/>
    <w:rsid w:val="009F4F6A"/>
    <w:rsid w:val="009F5046"/>
    <w:rsid w:val="00A13EB5"/>
    <w:rsid w:val="00A16E36"/>
    <w:rsid w:val="00A17E00"/>
    <w:rsid w:val="00A23012"/>
    <w:rsid w:val="00A24961"/>
    <w:rsid w:val="00A24B10"/>
    <w:rsid w:val="00A277EF"/>
    <w:rsid w:val="00A30122"/>
    <w:rsid w:val="00A30E9B"/>
    <w:rsid w:val="00A34BD0"/>
    <w:rsid w:val="00A354B5"/>
    <w:rsid w:val="00A4512D"/>
    <w:rsid w:val="00A45FDA"/>
    <w:rsid w:val="00A50244"/>
    <w:rsid w:val="00A53ACB"/>
    <w:rsid w:val="00A627D7"/>
    <w:rsid w:val="00A656C7"/>
    <w:rsid w:val="00A705AF"/>
    <w:rsid w:val="00A719F6"/>
    <w:rsid w:val="00A72454"/>
    <w:rsid w:val="00A75342"/>
    <w:rsid w:val="00A77696"/>
    <w:rsid w:val="00A80557"/>
    <w:rsid w:val="00A81D33"/>
    <w:rsid w:val="00A8341C"/>
    <w:rsid w:val="00A8377B"/>
    <w:rsid w:val="00A8695F"/>
    <w:rsid w:val="00A930AE"/>
    <w:rsid w:val="00AA1A95"/>
    <w:rsid w:val="00AA260F"/>
    <w:rsid w:val="00AB018A"/>
    <w:rsid w:val="00AB0705"/>
    <w:rsid w:val="00AB1EE7"/>
    <w:rsid w:val="00AB2B2E"/>
    <w:rsid w:val="00AB3FDE"/>
    <w:rsid w:val="00AB4B37"/>
    <w:rsid w:val="00AB5762"/>
    <w:rsid w:val="00AC2679"/>
    <w:rsid w:val="00AC4432"/>
    <w:rsid w:val="00AC4BE4"/>
    <w:rsid w:val="00AC6513"/>
    <w:rsid w:val="00AD05E6"/>
    <w:rsid w:val="00AD0D3F"/>
    <w:rsid w:val="00AD3FBC"/>
    <w:rsid w:val="00AE1D7D"/>
    <w:rsid w:val="00AE2A8B"/>
    <w:rsid w:val="00AE2FEC"/>
    <w:rsid w:val="00AE3F64"/>
    <w:rsid w:val="00AF2A34"/>
    <w:rsid w:val="00AF7386"/>
    <w:rsid w:val="00AF7910"/>
    <w:rsid w:val="00AF7934"/>
    <w:rsid w:val="00B00B81"/>
    <w:rsid w:val="00B04580"/>
    <w:rsid w:val="00B04B09"/>
    <w:rsid w:val="00B13818"/>
    <w:rsid w:val="00B16A51"/>
    <w:rsid w:val="00B27A99"/>
    <w:rsid w:val="00B32222"/>
    <w:rsid w:val="00B32567"/>
    <w:rsid w:val="00B3618D"/>
    <w:rsid w:val="00B36233"/>
    <w:rsid w:val="00B3794E"/>
    <w:rsid w:val="00B42851"/>
    <w:rsid w:val="00B42D06"/>
    <w:rsid w:val="00B45350"/>
    <w:rsid w:val="00B45AC7"/>
    <w:rsid w:val="00B51147"/>
    <w:rsid w:val="00B5372F"/>
    <w:rsid w:val="00B53987"/>
    <w:rsid w:val="00B61129"/>
    <w:rsid w:val="00B67E7F"/>
    <w:rsid w:val="00B70696"/>
    <w:rsid w:val="00B76DB3"/>
    <w:rsid w:val="00B839B2"/>
    <w:rsid w:val="00B873A0"/>
    <w:rsid w:val="00B93E57"/>
    <w:rsid w:val="00B94252"/>
    <w:rsid w:val="00B9715A"/>
    <w:rsid w:val="00BA14BE"/>
    <w:rsid w:val="00BA25D5"/>
    <w:rsid w:val="00BA2732"/>
    <w:rsid w:val="00BA293D"/>
    <w:rsid w:val="00BA49BC"/>
    <w:rsid w:val="00BA56B7"/>
    <w:rsid w:val="00BA7A1E"/>
    <w:rsid w:val="00BB2F6C"/>
    <w:rsid w:val="00BB3875"/>
    <w:rsid w:val="00BB5860"/>
    <w:rsid w:val="00BB6AAD"/>
    <w:rsid w:val="00BC4A19"/>
    <w:rsid w:val="00BC4E6D"/>
    <w:rsid w:val="00BD0617"/>
    <w:rsid w:val="00BD0A9E"/>
    <w:rsid w:val="00BD1D77"/>
    <w:rsid w:val="00BD2E9B"/>
    <w:rsid w:val="00BD475A"/>
    <w:rsid w:val="00BD50C6"/>
    <w:rsid w:val="00BD7FB2"/>
    <w:rsid w:val="00BE3ED5"/>
    <w:rsid w:val="00BE42C7"/>
    <w:rsid w:val="00BE6006"/>
    <w:rsid w:val="00BE731C"/>
    <w:rsid w:val="00BF6BB3"/>
    <w:rsid w:val="00BF7399"/>
    <w:rsid w:val="00C00930"/>
    <w:rsid w:val="00C02732"/>
    <w:rsid w:val="00C060AD"/>
    <w:rsid w:val="00C062F5"/>
    <w:rsid w:val="00C113BF"/>
    <w:rsid w:val="00C1281F"/>
    <w:rsid w:val="00C2176E"/>
    <w:rsid w:val="00C23430"/>
    <w:rsid w:val="00C24DB0"/>
    <w:rsid w:val="00C26ED1"/>
    <w:rsid w:val="00C27D67"/>
    <w:rsid w:val="00C31506"/>
    <w:rsid w:val="00C3618F"/>
    <w:rsid w:val="00C40A0E"/>
    <w:rsid w:val="00C40F49"/>
    <w:rsid w:val="00C435AF"/>
    <w:rsid w:val="00C4631F"/>
    <w:rsid w:val="00C47CDE"/>
    <w:rsid w:val="00C50E16"/>
    <w:rsid w:val="00C55258"/>
    <w:rsid w:val="00C55AEB"/>
    <w:rsid w:val="00C62DDF"/>
    <w:rsid w:val="00C6315C"/>
    <w:rsid w:val="00C702EB"/>
    <w:rsid w:val="00C71A8A"/>
    <w:rsid w:val="00C75FA3"/>
    <w:rsid w:val="00C82EEB"/>
    <w:rsid w:val="00C93436"/>
    <w:rsid w:val="00C971DC"/>
    <w:rsid w:val="00CA16B7"/>
    <w:rsid w:val="00CA62AE"/>
    <w:rsid w:val="00CB03B8"/>
    <w:rsid w:val="00CB49DD"/>
    <w:rsid w:val="00CB5B1A"/>
    <w:rsid w:val="00CC220B"/>
    <w:rsid w:val="00CC5C43"/>
    <w:rsid w:val="00CD02AE"/>
    <w:rsid w:val="00CD21E2"/>
    <w:rsid w:val="00CD2A4F"/>
    <w:rsid w:val="00CD41E4"/>
    <w:rsid w:val="00CE03CA"/>
    <w:rsid w:val="00CE22F1"/>
    <w:rsid w:val="00CE50F2"/>
    <w:rsid w:val="00CE6502"/>
    <w:rsid w:val="00CF00F8"/>
    <w:rsid w:val="00CF1633"/>
    <w:rsid w:val="00CF3018"/>
    <w:rsid w:val="00CF7D3C"/>
    <w:rsid w:val="00D01F09"/>
    <w:rsid w:val="00D03527"/>
    <w:rsid w:val="00D147EB"/>
    <w:rsid w:val="00D20254"/>
    <w:rsid w:val="00D20E78"/>
    <w:rsid w:val="00D27E71"/>
    <w:rsid w:val="00D34667"/>
    <w:rsid w:val="00D401E1"/>
    <w:rsid w:val="00D408B4"/>
    <w:rsid w:val="00D44330"/>
    <w:rsid w:val="00D50767"/>
    <w:rsid w:val="00D524C8"/>
    <w:rsid w:val="00D70E24"/>
    <w:rsid w:val="00D72B61"/>
    <w:rsid w:val="00D7476E"/>
    <w:rsid w:val="00D77562"/>
    <w:rsid w:val="00D77778"/>
    <w:rsid w:val="00D778DC"/>
    <w:rsid w:val="00DA3D1D"/>
    <w:rsid w:val="00DB6286"/>
    <w:rsid w:val="00DB645F"/>
    <w:rsid w:val="00DB76E9"/>
    <w:rsid w:val="00DB78D2"/>
    <w:rsid w:val="00DC0A67"/>
    <w:rsid w:val="00DC1D5E"/>
    <w:rsid w:val="00DC2498"/>
    <w:rsid w:val="00DC5220"/>
    <w:rsid w:val="00DD2061"/>
    <w:rsid w:val="00DD31B6"/>
    <w:rsid w:val="00DD7DAB"/>
    <w:rsid w:val="00DE3355"/>
    <w:rsid w:val="00DF0C60"/>
    <w:rsid w:val="00DF486F"/>
    <w:rsid w:val="00DF5B5B"/>
    <w:rsid w:val="00DF7619"/>
    <w:rsid w:val="00E010E4"/>
    <w:rsid w:val="00E042D8"/>
    <w:rsid w:val="00E07EE7"/>
    <w:rsid w:val="00E1103B"/>
    <w:rsid w:val="00E178B1"/>
    <w:rsid w:val="00E17B44"/>
    <w:rsid w:val="00E17B48"/>
    <w:rsid w:val="00E20F27"/>
    <w:rsid w:val="00E222D0"/>
    <w:rsid w:val="00E22443"/>
    <w:rsid w:val="00E24F0D"/>
    <w:rsid w:val="00E25B1F"/>
    <w:rsid w:val="00E27FEA"/>
    <w:rsid w:val="00E33511"/>
    <w:rsid w:val="00E35B07"/>
    <w:rsid w:val="00E37C62"/>
    <w:rsid w:val="00E4086F"/>
    <w:rsid w:val="00E40AE0"/>
    <w:rsid w:val="00E416BD"/>
    <w:rsid w:val="00E43B3C"/>
    <w:rsid w:val="00E46479"/>
    <w:rsid w:val="00E50188"/>
    <w:rsid w:val="00E50BB3"/>
    <w:rsid w:val="00E515CB"/>
    <w:rsid w:val="00E52260"/>
    <w:rsid w:val="00E53770"/>
    <w:rsid w:val="00E538AE"/>
    <w:rsid w:val="00E55916"/>
    <w:rsid w:val="00E639B6"/>
    <w:rsid w:val="00E6434B"/>
    <w:rsid w:val="00E6463D"/>
    <w:rsid w:val="00E64A5E"/>
    <w:rsid w:val="00E71492"/>
    <w:rsid w:val="00E72E9B"/>
    <w:rsid w:val="00E850C3"/>
    <w:rsid w:val="00E85CD4"/>
    <w:rsid w:val="00E87DF2"/>
    <w:rsid w:val="00E90371"/>
    <w:rsid w:val="00E91536"/>
    <w:rsid w:val="00E91576"/>
    <w:rsid w:val="00E9462E"/>
    <w:rsid w:val="00EA346E"/>
    <w:rsid w:val="00EA470E"/>
    <w:rsid w:val="00EA47A7"/>
    <w:rsid w:val="00EA57EB"/>
    <w:rsid w:val="00EB3226"/>
    <w:rsid w:val="00EC1BB1"/>
    <w:rsid w:val="00EC213A"/>
    <w:rsid w:val="00EC5320"/>
    <w:rsid w:val="00EC6B55"/>
    <w:rsid w:val="00EC7744"/>
    <w:rsid w:val="00ED0DAD"/>
    <w:rsid w:val="00ED0F46"/>
    <w:rsid w:val="00ED2277"/>
    <w:rsid w:val="00ED2373"/>
    <w:rsid w:val="00ED24F9"/>
    <w:rsid w:val="00ED2E38"/>
    <w:rsid w:val="00ED76AE"/>
    <w:rsid w:val="00EE17A5"/>
    <w:rsid w:val="00EE3E8A"/>
    <w:rsid w:val="00EF58B8"/>
    <w:rsid w:val="00EF6ECA"/>
    <w:rsid w:val="00F01605"/>
    <w:rsid w:val="00F024E1"/>
    <w:rsid w:val="00F05F3F"/>
    <w:rsid w:val="00F06C10"/>
    <w:rsid w:val="00F1096F"/>
    <w:rsid w:val="00F12589"/>
    <w:rsid w:val="00F12595"/>
    <w:rsid w:val="00F134D9"/>
    <w:rsid w:val="00F1403D"/>
    <w:rsid w:val="00F1463F"/>
    <w:rsid w:val="00F14EA0"/>
    <w:rsid w:val="00F15CC2"/>
    <w:rsid w:val="00F20DB3"/>
    <w:rsid w:val="00F21302"/>
    <w:rsid w:val="00F2430D"/>
    <w:rsid w:val="00F321DE"/>
    <w:rsid w:val="00F33777"/>
    <w:rsid w:val="00F37673"/>
    <w:rsid w:val="00F40648"/>
    <w:rsid w:val="00F45384"/>
    <w:rsid w:val="00F47DA2"/>
    <w:rsid w:val="00F51321"/>
    <w:rsid w:val="00F519FC"/>
    <w:rsid w:val="00F55669"/>
    <w:rsid w:val="00F6239D"/>
    <w:rsid w:val="00F715D2"/>
    <w:rsid w:val="00F7274F"/>
    <w:rsid w:val="00F72CBA"/>
    <w:rsid w:val="00F74E84"/>
    <w:rsid w:val="00F7615B"/>
    <w:rsid w:val="00F76ED3"/>
    <w:rsid w:val="00F76FA8"/>
    <w:rsid w:val="00F77B59"/>
    <w:rsid w:val="00F85AFE"/>
    <w:rsid w:val="00F93F08"/>
    <w:rsid w:val="00F94CED"/>
    <w:rsid w:val="00FA02BB"/>
    <w:rsid w:val="00FA2CEE"/>
    <w:rsid w:val="00FA318C"/>
    <w:rsid w:val="00FB2EFA"/>
    <w:rsid w:val="00FB3661"/>
    <w:rsid w:val="00FB6452"/>
    <w:rsid w:val="00FB6F92"/>
    <w:rsid w:val="00FC026E"/>
    <w:rsid w:val="00FC5124"/>
    <w:rsid w:val="00FD0155"/>
    <w:rsid w:val="00FD4731"/>
    <w:rsid w:val="00FD6768"/>
    <w:rsid w:val="00FF0AB0"/>
    <w:rsid w:val="00FF28AC"/>
    <w:rsid w:val="00FF33C2"/>
    <w:rsid w:val="00FF38CF"/>
    <w:rsid w:val="00FF777D"/>
    <w:rsid w:val="00FF7F62"/>
    <w:rsid w:val="06D43151"/>
    <w:rsid w:val="1ECE4356"/>
    <w:rsid w:val="37A8CB26"/>
    <w:rsid w:val="6E351CC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F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uiPriority w:val="9"/>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uiPriority w:val="22"/>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6F5073"/>
    <w:pPr>
      <w:numPr>
        <w:numId w:val="27"/>
      </w:numPr>
      <w:spacing w:before="0" w:after="60" w:line="280" w:lineRule="exact"/>
    </w:pPr>
    <w:rPr>
      <w:szCs w:val="22"/>
    </w:rPr>
  </w:style>
  <w:style w:type="table" w:styleId="GridTable4-Accent2">
    <w:name w:val="Grid Table 4 Accent 2"/>
    <w:basedOn w:val="TableNormal"/>
    <w:uiPriority w:val="49"/>
    <w:rsid w:val="00BE3ED5"/>
    <w:tblPr>
      <w:tblStyleRowBandSize w:val="1"/>
      <w:tblStyleColBandSize w:val="1"/>
      <w:tblBorders>
        <w:top w:val="single" w:sz="4" w:space="0" w:color="74C1C9" w:themeColor="accent2" w:themeTint="99"/>
        <w:left w:val="single" w:sz="4" w:space="0" w:color="74C1C9" w:themeColor="accent2" w:themeTint="99"/>
        <w:bottom w:val="single" w:sz="4" w:space="0" w:color="74C1C9" w:themeColor="accent2" w:themeTint="99"/>
        <w:right w:val="single" w:sz="4" w:space="0" w:color="74C1C9" w:themeColor="accent2" w:themeTint="99"/>
        <w:insideH w:val="single" w:sz="4" w:space="0" w:color="74C1C9" w:themeColor="accent2" w:themeTint="99"/>
        <w:insideV w:val="single" w:sz="4" w:space="0" w:color="74C1C9" w:themeColor="accent2" w:themeTint="99"/>
      </w:tblBorders>
    </w:tblPr>
    <w:tblStylePr w:type="firstRow">
      <w:rPr>
        <w:b/>
        <w:bCs/>
        <w:color w:val="FFFFFF" w:themeColor="background1"/>
      </w:rPr>
      <w:tblPr/>
      <w:tcPr>
        <w:tcBorders>
          <w:top w:val="single" w:sz="4" w:space="0" w:color="358189" w:themeColor="accent2"/>
          <w:left w:val="single" w:sz="4" w:space="0" w:color="358189" w:themeColor="accent2"/>
          <w:bottom w:val="single" w:sz="4" w:space="0" w:color="358189" w:themeColor="accent2"/>
          <w:right w:val="single" w:sz="4" w:space="0" w:color="358189" w:themeColor="accent2"/>
          <w:insideH w:val="nil"/>
          <w:insideV w:val="nil"/>
        </w:tcBorders>
        <w:shd w:val="clear" w:color="auto" w:fill="358189" w:themeFill="accent2"/>
      </w:tcPr>
    </w:tblStylePr>
    <w:tblStylePr w:type="lastRow">
      <w:rPr>
        <w:b/>
        <w:bCs/>
      </w:rPr>
      <w:tblPr/>
      <w:tcPr>
        <w:tcBorders>
          <w:top w:val="double" w:sz="4" w:space="0" w:color="358189" w:themeColor="accent2"/>
        </w:tcBorders>
      </w:tcPr>
    </w:tblStylePr>
    <w:tblStylePr w:type="firstCol">
      <w:rPr>
        <w:b/>
        <w:bCs/>
      </w:rPr>
    </w:tblStylePr>
    <w:tblStylePr w:type="lastCol">
      <w:rPr>
        <w:b/>
        <w:bCs/>
      </w:rPr>
    </w:tblStylePr>
    <w:tblStylePr w:type="band1Vert">
      <w:tblPr/>
      <w:tcPr>
        <w:shd w:val="clear" w:color="auto" w:fill="D0EAED" w:themeFill="accent2" w:themeFillTint="33"/>
      </w:tcPr>
    </w:tblStylePr>
    <w:tblStylePr w:type="band1Horz">
      <w:tblPr/>
      <w:tcPr>
        <w:shd w:val="clear" w:color="auto" w:fill="D0EAED" w:themeFill="accent2" w:themeFillTint="33"/>
      </w:tcPr>
    </w:tblStylePr>
  </w:style>
  <w:style w:type="paragraph" w:styleId="ListNumber3">
    <w:name w:val="List Number 3"/>
    <w:aliases w:val="List Third Level"/>
    <w:basedOn w:val="ListNumber2"/>
    <w:rsid w:val="00A719F6"/>
    <w:pPr>
      <w:numPr>
        <w:numId w:val="23"/>
      </w:numPr>
      <w:tabs>
        <w:tab w:val="num" w:pos="1440"/>
      </w:tabs>
    </w:pPr>
    <w:rPr>
      <w:rFonts w:eastAsia="Cambria"/>
      <w:color w:val="auto"/>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642F20"/>
    <w:pPr>
      <w:spacing w:before="60" w:after="60"/>
    </w:pPr>
    <w:rPr>
      <w:rFonts w:ascii="Arial" w:hAnsi="Arial"/>
      <w:b/>
      <w:color w:val="000000" w:themeColor="text1"/>
      <w:sz w:val="22"/>
      <w:szCs w:val="22"/>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uiPriority w:val="9"/>
    <w:rsid w:val="00064168"/>
    <w:rPr>
      <w:rFonts w:ascii="Arial" w:hAnsi="Arial" w:cs="Arial"/>
      <w:b/>
      <w:bCs/>
      <w:iCs/>
      <w:color w:val="358189"/>
      <w:sz w:val="36"/>
      <w:szCs w:val="28"/>
      <w:lang w:eastAsia="en-US"/>
    </w:rPr>
  </w:style>
  <w:style w:type="paragraph" w:styleId="CommentText">
    <w:name w:val="annotation text"/>
    <w:basedOn w:val="Normal"/>
    <w:link w:val="CommentTextChar"/>
    <w:uiPriority w:val="99"/>
    <w:unhideWhenUsed/>
    <w:rsid w:val="00064168"/>
    <w:pPr>
      <w:spacing w:before="0" w:after="160" w:line="240" w:lineRule="auto"/>
    </w:pPr>
    <w:rPr>
      <w:rFonts w:eastAsiaTheme="minorEastAsia" w:cstheme="minorBidi"/>
      <w:color w:val="auto"/>
      <w:sz w:val="20"/>
      <w:szCs w:val="20"/>
    </w:rPr>
  </w:style>
  <w:style w:type="character" w:customStyle="1" w:styleId="CommentTextChar">
    <w:name w:val="Comment Text Char"/>
    <w:basedOn w:val="DefaultParagraphFont"/>
    <w:link w:val="CommentText"/>
    <w:uiPriority w:val="99"/>
    <w:rsid w:val="00064168"/>
    <w:rPr>
      <w:rFonts w:ascii="Arial" w:eastAsiaTheme="minorEastAsia" w:hAnsi="Arial" w:cstheme="minorBidi"/>
      <w:lang w:eastAsia="en-US"/>
    </w:rPr>
  </w:style>
  <w:style w:type="paragraph" w:customStyle="1" w:styleId="Disclaimer">
    <w:name w:val="Disclaimer"/>
    <w:basedOn w:val="Normal"/>
    <w:uiPriority w:val="10"/>
    <w:qFormat/>
    <w:rsid w:val="00080BAC"/>
    <w:pPr>
      <w:pBdr>
        <w:top w:val="single" w:sz="12" w:space="1" w:color="358189" w:themeColor="accent2"/>
        <w:bottom w:val="single" w:sz="12" w:space="1" w:color="358189" w:themeColor="accent2"/>
      </w:pBdr>
      <w:shd w:val="clear" w:color="auto" w:fill="D0EAED" w:themeFill="accent2" w:themeFillTint="33"/>
      <w:spacing w:before="0" w:after="160" w:line="280" w:lineRule="exact"/>
      <w:ind w:left="567" w:right="1394"/>
    </w:pPr>
    <w:rPr>
      <w:rFonts w:eastAsiaTheme="minorEastAsia" w:cstheme="minorBidi"/>
      <w:b/>
      <w:color w:val="auto"/>
      <w:sz w:val="16"/>
      <w:szCs w:val="16"/>
    </w:rPr>
  </w:style>
  <w:style w:type="character" w:styleId="BookTitle">
    <w:name w:val="Book Title"/>
    <w:aliases w:val="Description"/>
    <w:basedOn w:val="DefaultParagraphFont"/>
    <w:uiPriority w:val="33"/>
    <w:rsid w:val="00064168"/>
    <w:rPr>
      <w:rFonts w:asciiTheme="minorHAnsi" w:hAnsiTheme="minorHAnsi"/>
      <w:b/>
      <w:bCs/>
      <w:i/>
      <w:iCs/>
      <w:spacing w:val="5"/>
      <w:sz w:val="22"/>
    </w:rPr>
  </w:style>
  <w:style w:type="character" w:styleId="UnresolvedMention">
    <w:name w:val="Unresolved Mention"/>
    <w:basedOn w:val="DefaultParagraphFont"/>
    <w:uiPriority w:val="99"/>
    <w:semiHidden/>
    <w:unhideWhenUsed/>
    <w:rsid w:val="001245EF"/>
    <w:rPr>
      <w:color w:val="605E5C"/>
      <w:shd w:val="clear" w:color="auto" w:fill="E1DFDD"/>
    </w:rPr>
  </w:style>
  <w:style w:type="character" w:styleId="FollowedHyperlink">
    <w:name w:val="FollowedHyperlink"/>
    <w:basedOn w:val="DefaultParagraphFont"/>
    <w:semiHidden/>
    <w:unhideWhenUsed/>
    <w:rsid w:val="001245EF"/>
    <w:rPr>
      <w:color w:val="800080" w:themeColor="followedHyperlink"/>
      <w:u w:val="single"/>
    </w:rPr>
  </w:style>
  <w:style w:type="paragraph" w:styleId="Revision">
    <w:name w:val="Revision"/>
    <w:hidden/>
    <w:uiPriority w:val="99"/>
    <w:semiHidden/>
    <w:rsid w:val="005920E7"/>
    <w:rPr>
      <w:rFonts w:ascii="Arial" w:hAnsi="Arial"/>
      <w:color w:val="000000" w:themeColor="text1"/>
      <w:sz w:val="22"/>
      <w:szCs w:val="24"/>
      <w:lang w:eastAsia="en-US"/>
    </w:rPr>
  </w:style>
  <w:style w:type="paragraph" w:styleId="ListParagraph">
    <w:name w:val="List Paragraph"/>
    <w:basedOn w:val="Normal"/>
    <w:uiPriority w:val="34"/>
    <w:qFormat/>
    <w:rsid w:val="005920E7"/>
    <w:pPr>
      <w:ind w:left="720"/>
      <w:contextualSpacing/>
    </w:pPr>
  </w:style>
  <w:style w:type="character" w:styleId="CommentReference">
    <w:name w:val="annotation reference"/>
    <w:basedOn w:val="DefaultParagraphFont"/>
    <w:semiHidden/>
    <w:unhideWhenUsed/>
    <w:rsid w:val="00BE42C7"/>
    <w:rPr>
      <w:sz w:val="16"/>
      <w:szCs w:val="16"/>
    </w:rPr>
  </w:style>
  <w:style w:type="paragraph" w:styleId="CommentSubject">
    <w:name w:val="annotation subject"/>
    <w:basedOn w:val="CommentText"/>
    <w:next w:val="CommentText"/>
    <w:link w:val="CommentSubjectChar"/>
    <w:semiHidden/>
    <w:unhideWhenUsed/>
    <w:rsid w:val="00CD41E4"/>
    <w:pPr>
      <w:spacing w:before="120" w:after="120"/>
    </w:pPr>
    <w:rPr>
      <w:rFonts w:eastAsia="Times New Roman" w:cs="Times New Roman"/>
      <w:b/>
      <w:bCs/>
      <w:color w:val="000000" w:themeColor="text1"/>
    </w:rPr>
  </w:style>
  <w:style w:type="character" w:customStyle="1" w:styleId="CommentSubjectChar">
    <w:name w:val="Comment Subject Char"/>
    <w:basedOn w:val="CommentTextChar"/>
    <w:link w:val="CommentSubject"/>
    <w:semiHidden/>
    <w:rsid w:val="00CD41E4"/>
    <w:rPr>
      <w:rFonts w:ascii="Arial" w:eastAsiaTheme="minorEastAsia" w:hAnsi="Arial" w:cstheme="minorBidi"/>
      <w:b/>
      <w:bCs/>
      <w:color w:val="000000" w:themeColor="text1"/>
      <w:lang w:eastAsia="en-US"/>
    </w:rPr>
  </w:style>
  <w:style w:type="paragraph" w:customStyle="1" w:styleId="5Bodytext">
    <w:name w:val="5. Body text"/>
    <w:basedOn w:val="ListParagraph"/>
    <w:link w:val="5BodytextChar"/>
    <w:qFormat/>
    <w:rsid w:val="00E178B1"/>
    <w:pPr>
      <w:autoSpaceDE w:val="0"/>
      <w:autoSpaceDN w:val="0"/>
      <w:adjustRightInd w:val="0"/>
      <w:spacing w:before="0" w:after="240" w:line="240" w:lineRule="auto"/>
      <w:ind w:left="0"/>
      <w:contextualSpacing w:val="0"/>
    </w:pPr>
    <w:rPr>
      <w:rFonts w:ascii="Tms Rmn" w:hAnsi="Tms Rmn"/>
      <w:color w:val="auto"/>
      <w:sz w:val="24"/>
      <w:lang w:eastAsia="en-AU"/>
    </w:rPr>
  </w:style>
  <w:style w:type="character" w:customStyle="1" w:styleId="5BodytextChar">
    <w:name w:val="5. Body text Char"/>
    <w:basedOn w:val="DefaultParagraphFont"/>
    <w:link w:val="5Bodytext"/>
    <w:rsid w:val="00E178B1"/>
    <w:rPr>
      <w:rFonts w:ascii="Tms Rmn" w:hAnsi="Tms Rm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2039">
      <w:bodyDiv w:val="1"/>
      <w:marLeft w:val="0"/>
      <w:marRight w:val="0"/>
      <w:marTop w:val="0"/>
      <w:marBottom w:val="0"/>
      <w:divBdr>
        <w:top w:val="none" w:sz="0" w:space="0" w:color="auto"/>
        <w:left w:val="none" w:sz="0" w:space="0" w:color="auto"/>
        <w:bottom w:val="none" w:sz="0" w:space="0" w:color="auto"/>
        <w:right w:val="none" w:sz="0" w:space="0" w:color="auto"/>
      </w:divBdr>
    </w:div>
    <w:div w:id="223029450">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55548488">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3805637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6739794">
      <w:bodyDiv w:val="1"/>
      <w:marLeft w:val="0"/>
      <w:marRight w:val="0"/>
      <w:marTop w:val="0"/>
      <w:marBottom w:val="0"/>
      <w:divBdr>
        <w:top w:val="none" w:sz="0" w:space="0" w:color="auto"/>
        <w:left w:val="none" w:sz="0" w:space="0" w:color="auto"/>
        <w:bottom w:val="none" w:sz="0" w:space="0" w:color="auto"/>
        <w:right w:val="none" w:sz="0" w:space="0" w:color="auto"/>
      </w:divBdr>
    </w:div>
    <w:div w:id="684136281">
      <w:bodyDiv w:val="1"/>
      <w:marLeft w:val="0"/>
      <w:marRight w:val="0"/>
      <w:marTop w:val="0"/>
      <w:marBottom w:val="0"/>
      <w:divBdr>
        <w:top w:val="none" w:sz="0" w:space="0" w:color="auto"/>
        <w:left w:val="none" w:sz="0" w:space="0" w:color="auto"/>
        <w:bottom w:val="none" w:sz="0" w:space="0" w:color="auto"/>
        <w:right w:val="none" w:sz="0" w:space="0" w:color="auto"/>
      </w:divBdr>
    </w:div>
    <w:div w:id="708144445">
      <w:bodyDiv w:val="1"/>
      <w:marLeft w:val="0"/>
      <w:marRight w:val="0"/>
      <w:marTop w:val="0"/>
      <w:marBottom w:val="0"/>
      <w:divBdr>
        <w:top w:val="none" w:sz="0" w:space="0" w:color="auto"/>
        <w:left w:val="none" w:sz="0" w:space="0" w:color="auto"/>
        <w:bottom w:val="none" w:sz="0" w:space="0" w:color="auto"/>
        <w:right w:val="none" w:sz="0" w:space="0" w:color="auto"/>
      </w:divBdr>
    </w:div>
    <w:div w:id="71685232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9716656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464230287">
      <w:bodyDiv w:val="1"/>
      <w:marLeft w:val="0"/>
      <w:marRight w:val="0"/>
      <w:marTop w:val="0"/>
      <w:marBottom w:val="0"/>
      <w:divBdr>
        <w:top w:val="none" w:sz="0" w:space="0" w:color="auto"/>
        <w:left w:val="none" w:sz="0" w:space="0" w:color="auto"/>
        <w:bottom w:val="none" w:sz="0" w:space="0" w:color="auto"/>
        <w:right w:val="none" w:sz="0" w:space="0" w:color="auto"/>
      </w:divBdr>
    </w:div>
    <w:div w:id="1710371467">
      <w:bodyDiv w:val="1"/>
      <w:marLeft w:val="0"/>
      <w:marRight w:val="0"/>
      <w:marTop w:val="0"/>
      <w:marBottom w:val="0"/>
      <w:divBdr>
        <w:top w:val="none" w:sz="0" w:space="0" w:color="auto"/>
        <w:left w:val="none" w:sz="0" w:space="0" w:color="auto"/>
        <w:bottom w:val="none" w:sz="0" w:space="0" w:color="auto"/>
        <w:right w:val="none" w:sz="0" w:space="0" w:color="auto"/>
      </w:divBdr>
    </w:div>
    <w:div w:id="1802646890">
      <w:bodyDiv w:val="1"/>
      <w:marLeft w:val="0"/>
      <w:marRight w:val="0"/>
      <w:marTop w:val="0"/>
      <w:marBottom w:val="0"/>
      <w:divBdr>
        <w:top w:val="none" w:sz="0" w:space="0" w:color="auto"/>
        <w:left w:val="none" w:sz="0" w:space="0" w:color="auto"/>
        <w:bottom w:val="none" w:sz="0" w:space="0" w:color="auto"/>
        <w:right w:val="none" w:sz="0" w:space="0" w:color="auto"/>
      </w:divBdr>
    </w:div>
    <w:div w:id="1882014351">
      <w:bodyDiv w:val="1"/>
      <w:marLeft w:val="0"/>
      <w:marRight w:val="0"/>
      <w:marTop w:val="0"/>
      <w:marBottom w:val="0"/>
      <w:divBdr>
        <w:top w:val="none" w:sz="0" w:space="0" w:color="auto"/>
        <w:left w:val="none" w:sz="0" w:space="0" w:color="auto"/>
        <w:bottom w:val="none" w:sz="0" w:space="0" w:color="auto"/>
        <w:right w:val="none" w:sz="0" w:space="0" w:color="auto"/>
      </w:divBdr>
    </w:div>
    <w:div w:id="1979795198">
      <w:bodyDiv w:val="1"/>
      <w:marLeft w:val="0"/>
      <w:marRight w:val="0"/>
      <w:marTop w:val="0"/>
      <w:marBottom w:val="0"/>
      <w:divBdr>
        <w:top w:val="none" w:sz="0" w:space="0" w:color="auto"/>
        <w:left w:val="none" w:sz="0" w:space="0" w:color="auto"/>
        <w:bottom w:val="none" w:sz="0" w:space="0" w:color="auto"/>
        <w:right w:val="none" w:sz="0" w:space="0" w:color="auto"/>
      </w:divBdr>
    </w:div>
    <w:div w:id="2000956338">
      <w:bodyDiv w:val="1"/>
      <w:marLeft w:val="0"/>
      <w:marRight w:val="0"/>
      <w:marTop w:val="0"/>
      <w:marBottom w:val="0"/>
      <w:divBdr>
        <w:top w:val="none" w:sz="0" w:space="0" w:color="auto"/>
        <w:left w:val="none" w:sz="0" w:space="0" w:color="auto"/>
        <w:bottom w:val="none" w:sz="0" w:space="0" w:color="auto"/>
        <w:right w:val="none" w:sz="0" w:space="0" w:color="auto"/>
      </w:divBdr>
      <w:divsChild>
        <w:div w:id="895462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9.health.gov.au/mbs/fullDisplay.cfm?type=note&amp;qt=NoteID&amp;q=TN.1.19" TargetMode="External"/><Relationship Id="rId13" Type="http://schemas.openxmlformats.org/officeDocument/2006/relationships/hyperlink" Target="https://www.servicesaustralia.gov.au/organisations/health-professionals/news/al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skMBS@health.gov.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9.health.gov.au/mbs/subscribe.cfm" TargetMode="External"/><Relationship Id="rId5" Type="http://schemas.openxmlformats.org/officeDocument/2006/relationships/webSettings" Target="webSettings.xml"/><Relationship Id="rId15" Type="http://schemas.openxmlformats.org/officeDocument/2006/relationships/hyperlink" Target="https://www9.health.gov.au/mbs/fullDisplay.cfm?type=note&amp;qt=NoteID&amp;q=TN.1.19" TargetMode="External"/><Relationship Id="rId10" Type="http://schemas.openxmlformats.org/officeDocument/2006/relationships/hyperlink" Target="https://www.mbsonline.gov.a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health.gov.au/topics/medicare/compliance" TargetMode="External"/><Relationship Id="rId14" Type="http://schemas.openxmlformats.org/officeDocument/2006/relationships/hyperlink" Target="https://www.mbsonline.gov.au/internet/mbsonline/publishing.nsf/Content/download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bsonlin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7361</Characters>
  <Application>Microsoft Office Word</Application>
  <DocSecurity>0</DocSecurity>
  <Lines>61</Lines>
  <Paragraphs>17</Paragraphs>
  <ScaleCrop>false</ScaleCrop>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2026-10-30T03:30:00Z</dcterms:created>
  <dcterms:modified xsi:type="dcterms:W3CDTF">2026-10-30T03:30:00Z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24ed8bcd,387614a4,4b1121c5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2feeff4d,1eae1d8b,d6a0ab2</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2026-10-30T03:30:20Z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5a11f0c8-0a45-47e0-b9c3-09918c6400f6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