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5EB5" w14:textId="3DE895CF" w:rsidR="00637DF2" w:rsidRDefault="00C357C5" w:rsidP="00637DF2">
      <w:pPr>
        <w:pStyle w:val="Title"/>
      </w:pPr>
      <w:bookmarkStart w:id="0" w:name="_Hlk190959721"/>
      <w:r>
        <w:t xml:space="preserve">Chronic disease management </w:t>
      </w:r>
      <w:r w:rsidR="0004123C">
        <w:t>by consultant physicians</w:t>
      </w:r>
      <w:bookmarkStart w:id="1" w:name="_Hlk4568006"/>
    </w:p>
    <w:bookmarkEnd w:id="0"/>
    <w:p w14:paraId="75CD526B" w14:textId="77777777" w:rsidR="00AA04FD" w:rsidRDefault="00AA04FD" w:rsidP="00637DF2">
      <w:pPr>
        <w:pStyle w:val="Title"/>
        <w:rPr>
          <w:sz w:val="24"/>
          <w:szCs w:val="24"/>
        </w:rPr>
      </w:pPr>
    </w:p>
    <w:p w14:paraId="6EFD4B5B" w14:textId="3B349E49" w:rsidR="00064168" w:rsidRPr="00A272D8" w:rsidRDefault="00AF6C44" w:rsidP="00637DF2">
      <w:pPr>
        <w:pStyle w:val="Title"/>
        <w:rPr>
          <w:sz w:val="24"/>
          <w:szCs w:val="24"/>
        </w:rPr>
      </w:pPr>
      <w:r>
        <w:rPr>
          <w:sz w:val="24"/>
          <w:szCs w:val="24"/>
        </w:rPr>
        <w:t xml:space="preserve">Last </w:t>
      </w:r>
      <w:r w:rsidR="00637DF2" w:rsidRPr="00A272D8">
        <w:rPr>
          <w:sz w:val="24"/>
          <w:szCs w:val="24"/>
        </w:rPr>
        <w:t>U</w:t>
      </w:r>
      <w:r w:rsidR="00064168" w:rsidRPr="00A272D8">
        <w:rPr>
          <w:sz w:val="24"/>
          <w:szCs w:val="24"/>
        </w:rPr>
        <w:t xml:space="preserve">pdated: </w:t>
      </w:r>
      <w:r>
        <w:rPr>
          <w:sz w:val="24"/>
          <w:szCs w:val="24"/>
        </w:rPr>
        <w:t>2</w:t>
      </w:r>
      <w:r w:rsidR="00EC078C">
        <w:rPr>
          <w:sz w:val="24"/>
          <w:szCs w:val="24"/>
        </w:rPr>
        <w:t>6</w:t>
      </w:r>
      <w:r>
        <w:rPr>
          <w:sz w:val="24"/>
          <w:szCs w:val="24"/>
        </w:rPr>
        <w:t xml:space="preserve"> February 2025</w:t>
      </w:r>
    </w:p>
    <w:bookmarkEnd w:id="1"/>
    <w:p w14:paraId="3F5B185F" w14:textId="149B79EF" w:rsidR="00064168" w:rsidRPr="00470C55" w:rsidRDefault="003202FB" w:rsidP="00A72925">
      <w:pPr>
        <w:pStyle w:val="ListBullet"/>
      </w:pPr>
      <w:r>
        <w:t xml:space="preserve">Effective </w:t>
      </w:r>
      <w:r w:rsidR="00CD430A">
        <w:t xml:space="preserve">since </w:t>
      </w:r>
      <w:r w:rsidR="00F60EF4" w:rsidRPr="00EC078C">
        <w:rPr>
          <w:b/>
          <w:bCs/>
        </w:rPr>
        <w:t>1 November 200</w:t>
      </w:r>
      <w:r w:rsidR="00CD430A" w:rsidRPr="00EC078C">
        <w:rPr>
          <w:b/>
          <w:bCs/>
        </w:rPr>
        <w:t>7</w:t>
      </w:r>
      <w:r w:rsidR="00CD430A">
        <w:t xml:space="preserve">, there have been </w:t>
      </w:r>
      <w:r w:rsidR="0004123C">
        <w:t>two</w:t>
      </w:r>
      <w:r w:rsidR="00CD430A">
        <w:t xml:space="preserve"> MBS items </w:t>
      </w:r>
      <w:r w:rsidR="00733BE9">
        <w:t>to provide f</w:t>
      </w:r>
      <w:r w:rsidR="0068712A">
        <w:t xml:space="preserve">or </w:t>
      </w:r>
      <w:r w:rsidR="00805E8B">
        <w:t xml:space="preserve">the </w:t>
      </w:r>
      <w:r w:rsidR="008D6210">
        <w:t>assessment</w:t>
      </w:r>
      <w:r w:rsidR="00A47CF7">
        <w:t xml:space="preserve"> and </w:t>
      </w:r>
      <w:r w:rsidR="00805E8B">
        <w:t xml:space="preserve">development of </w:t>
      </w:r>
      <w:r w:rsidR="00A47CF7">
        <w:t xml:space="preserve">management plans </w:t>
      </w:r>
      <w:r w:rsidR="009957FD">
        <w:t xml:space="preserve">by </w:t>
      </w:r>
      <w:r w:rsidR="006C6553">
        <w:t xml:space="preserve">consultant </w:t>
      </w:r>
      <w:r w:rsidR="00BD42BF">
        <w:t>physicians</w:t>
      </w:r>
      <w:r w:rsidR="004818C0">
        <w:t xml:space="preserve"> </w:t>
      </w:r>
      <w:r w:rsidR="00E6071D">
        <w:t>(MBS item</w:t>
      </w:r>
      <w:r w:rsidR="003238FA">
        <w:t>s</w:t>
      </w:r>
      <w:r w:rsidR="00E6071D">
        <w:t xml:space="preserve"> 1</w:t>
      </w:r>
      <w:r w:rsidR="0004123C">
        <w:t>32 and 133</w:t>
      </w:r>
      <w:r w:rsidR="00D8281D">
        <w:t>)</w:t>
      </w:r>
      <w:r w:rsidR="00DA553D" w:rsidRPr="00470C55">
        <w:t>.</w:t>
      </w:r>
    </w:p>
    <w:p w14:paraId="71B45CB4" w14:textId="305922CA" w:rsidR="0098216C" w:rsidRPr="00470C55" w:rsidRDefault="00CA4DC2" w:rsidP="007D553F">
      <w:pPr>
        <w:pStyle w:val="ListBullet"/>
        <w:rPr>
          <w:rFonts w:ascii="Open Sans" w:hAnsi="Open Sans" w:cs="Open Sans"/>
          <w:color w:val="000000"/>
          <w:sz w:val="36"/>
          <w:szCs w:val="36"/>
          <w:lang w:eastAsia="en-AU"/>
        </w:rPr>
      </w:pPr>
      <w:r w:rsidRPr="00470C55">
        <w:rPr>
          <w:b/>
          <w:bCs/>
          <w:u w:val="single"/>
        </w:rPr>
        <w:t>There have been no changes to these items</w:t>
      </w:r>
      <w:r w:rsidRPr="00470C55">
        <w:t>, t</w:t>
      </w:r>
      <w:r w:rsidR="00D0456B" w:rsidRPr="00470C55">
        <w:t xml:space="preserve">his factsheet has been created to outline the existing </w:t>
      </w:r>
      <w:r w:rsidR="00303DAB" w:rsidRPr="00470C55">
        <w:t>arrangements</w:t>
      </w:r>
      <w:r w:rsidRPr="00470C55">
        <w:t>.</w:t>
      </w:r>
      <w:r w:rsidR="00AA04FD" w:rsidRPr="00470C55">
        <w:rPr>
          <w:b/>
          <w:bCs/>
          <w:u w:val="single"/>
        </w:rPr>
        <w:t xml:space="preserve"> </w:t>
      </w:r>
      <w:bookmarkStart w:id="2" w:name="who"/>
      <w:bookmarkEnd w:id="2"/>
    </w:p>
    <w:p w14:paraId="44460BF5" w14:textId="77777777" w:rsidR="00064168" w:rsidRPr="00867595" w:rsidRDefault="00064168" w:rsidP="00064168">
      <w:pPr>
        <w:pStyle w:val="Heading2"/>
      </w:pPr>
      <w:r w:rsidRPr="00867595">
        <w:t>What are the changes?</w:t>
      </w:r>
    </w:p>
    <w:p w14:paraId="273851E5" w14:textId="60E24ED2" w:rsidR="0068316B" w:rsidRDefault="00064168" w:rsidP="00F731CB">
      <w:pPr>
        <w:rPr>
          <w:szCs w:val="22"/>
        </w:rPr>
      </w:pPr>
      <w:r w:rsidRPr="000C6EDB">
        <w:rPr>
          <w:szCs w:val="22"/>
        </w:rPr>
        <w:t xml:space="preserve">Effective </w:t>
      </w:r>
      <w:r w:rsidR="00EC1610" w:rsidRPr="00EC078C">
        <w:rPr>
          <w:b/>
          <w:bCs/>
          <w:szCs w:val="22"/>
        </w:rPr>
        <w:t>1 November 2007</w:t>
      </w:r>
      <w:r w:rsidR="00EC1610" w:rsidRPr="000C6EDB">
        <w:rPr>
          <w:szCs w:val="22"/>
        </w:rPr>
        <w:t xml:space="preserve"> </w:t>
      </w:r>
      <w:r w:rsidR="0071146D">
        <w:rPr>
          <w:szCs w:val="22"/>
        </w:rPr>
        <w:t>two</w:t>
      </w:r>
      <w:r w:rsidR="006B0988" w:rsidRPr="000C6EDB">
        <w:rPr>
          <w:szCs w:val="22"/>
        </w:rPr>
        <w:t xml:space="preserve"> </w:t>
      </w:r>
      <w:r w:rsidR="00B56D5C" w:rsidRPr="000C6EDB">
        <w:rPr>
          <w:szCs w:val="22"/>
        </w:rPr>
        <w:t xml:space="preserve">MBS </w:t>
      </w:r>
      <w:r w:rsidRPr="000C6EDB">
        <w:rPr>
          <w:szCs w:val="22"/>
        </w:rPr>
        <w:t xml:space="preserve">items </w:t>
      </w:r>
      <w:r w:rsidR="00AD13FB" w:rsidRPr="000C6EDB">
        <w:rPr>
          <w:szCs w:val="22"/>
        </w:rPr>
        <w:t>(1</w:t>
      </w:r>
      <w:r w:rsidR="00BE3AEE">
        <w:rPr>
          <w:szCs w:val="22"/>
        </w:rPr>
        <w:t>3</w:t>
      </w:r>
      <w:r w:rsidR="00D740A2">
        <w:rPr>
          <w:szCs w:val="22"/>
        </w:rPr>
        <w:t>2</w:t>
      </w:r>
      <w:r w:rsidR="00BE3AEE">
        <w:rPr>
          <w:szCs w:val="22"/>
        </w:rPr>
        <w:t xml:space="preserve"> and 133</w:t>
      </w:r>
      <w:r w:rsidR="00AD13FB" w:rsidRPr="000C6EDB">
        <w:rPr>
          <w:szCs w:val="22"/>
        </w:rPr>
        <w:t xml:space="preserve">) </w:t>
      </w:r>
      <w:r w:rsidR="00163940" w:rsidRPr="000C6EDB">
        <w:rPr>
          <w:szCs w:val="22"/>
        </w:rPr>
        <w:t xml:space="preserve">were introduced </w:t>
      </w:r>
      <w:r w:rsidR="00BE3AEE">
        <w:rPr>
          <w:szCs w:val="22"/>
        </w:rPr>
        <w:t xml:space="preserve">to provide for consultation </w:t>
      </w:r>
      <w:r w:rsidR="007236E6">
        <w:rPr>
          <w:szCs w:val="22"/>
        </w:rPr>
        <w:t xml:space="preserve">by a consultant physician for the assessment and review of a patient with at least two </w:t>
      </w:r>
      <w:r w:rsidR="00E63BBD">
        <w:rPr>
          <w:szCs w:val="22"/>
        </w:rPr>
        <w:t xml:space="preserve">morbidities. </w:t>
      </w:r>
    </w:p>
    <w:p w14:paraId="063A5C77" w14:textId="5160FA84" w:rsidR="00163940" w:rsidRDefault="004408EF" w:rsidP="00F731CB">
      <w:pPr>
        <w:rPr>
          <w:szCs w:val="22"/>
        </w:rPr>
      </w:pPr>
      <w:r>
        <w:rPr>
          <w:szCs w:val="22"/>
        </w:rPr>
        <w:t xml:space="preserve">The </w:t>
      </w:r>
      <w:r w:rsidR="005364C2">
        <w:rPr>
          <w:szCs w:val="22"/>
        </w:rPr>
        <w:t>current MBS</w:t>
      </w:r>
      <w:r>
        <w:rPr>
          <w:szCs w:val="22"/>
        </w:rPr>
        <w:t xml:space="preserve"> item descriptors </w:t>
      </w:r>
      <w:r w:rsidR="0068316B">
        <w:rPr>
          <w:szCs w:val="22"/>
        </w:rPr>
        <w:t xml:space="preserve">for MBS items 132 and 133 </w:t>
      </w:r>
      <w:r>
        <w:rPr>
          <w:szCs w:val="22"/>
        </w:rPr>
        <w:t xml:space="preserve">are listed in </w:t>
      </w:r>
      <w:r w:rsidR="00BF57EC">
        <w:rPr>
          <w:szCs w:val="22"/>
        </w:rPr>
        <w:t xml:space="preserve">a </w:t>
      </w:r>
      <w:r>
        <w:rPr>
          <w:szCs w:val="22"/>
        </w:rPr>
        <w:t>tabl</w:t>
      </w:r>
      <w:r w:rsidR="00BF57EC">
        <w:rPr>
          <w:szCs w:val="22"/>
        </w:rPr>
        <w:t>e at the end of this factsheet.</w:t>
      </w:r>
    </w:p>
    <w:p w14:paraId="42BD5171" w14:textId="77777777" w:rsidR="00064168" w:rsidRDefault="00064168" w:rsidP="00064168">
      <w:pPr>
        <w:pStyle w:val="Heading2"/>
      </w:pPr>
      <w:r>
        <w:t>Why are the changes being made?</w:t>
      </w:r>
    </w:p>
    <w:p w14:paraId="4E71A2A5" w14:textId="42EEFA3B" w:rsidR="001F38C3" w:rsidRDefault="0011483D" w:rsidP="003749C5">
      <w:pPr>
        <w:shd w:val="clear" w:color="auto" w:fill="FBFBFB"/>
        <w:spacing w:before="0" w:after="240" w:line="300" w:lineRule="atLeast"/>
        <w:rPr>
          <w:szCs w:val="22"/>
        </w:rPr>
      </w:pPr>
      <w:r w:rsidRPr="001F38C3">
        <w:rPr>
          <w:szCs w:val="22"/>
        </w:rPr>
        <w:t>These MBS item</w:t>
      </w:r>
      <w:r w:rsidR="000A6022" w:rsidRPr="001F38C3">
        <w:rPr>
          <w:szCs w:val="22"/>
        </w:rPr>
        <w:t>s were introduced to support (but no</w:t>
      </w:r>
      <w:r w:rsidRPr="001F38C3">
        <w:rPr>
          <w:szCs w:val="22"/>
        </w:rPr>
        <w:t>t limited to</w:t>
      </w:r>
      <w:r w:rsidR="000A6022" w:rsidRPr="001F38C3">
        <w:rPr>
          <w:szCs w:val="22"/>
        </w:rPr>
        <w:t>)</w:t>
      </w:r>
      <w:r w:rsidRPr="001F38C3">
        <w:rPr>
          <w:szCs w:val="22"/>
        </w:rPr>
        <w:t xml:space="preserve"> </w:t>
      </w:r>
      <w:r w:rsidR="00393D66" w:rsidRPr="001F38C3">
        <w:rPr>
          <w:szCs w:val="22"/>
        </w:rPr>
        <w:t xml:space="preserve">patients </w:t>
      </w:r>
      <w:r w:rsidRPr="001F38C3">
        <w:rPr>
          <w:szCs w:val="22"/>
        </w:rPr>
        <w:t>being managed by their general practitioner (GP) with a GP Management Plan (GPMP) or Team Care Arrangement (TCA).</w:t>
      </w:r>
      <w:r w:rsidR="0003020B" w:rsidRPr="001F38C3">
        <w:rPr>
          <w:szCs w:val="22"/>
        </w:rPr>
        <w:t xml:space="preserve"> </w:t>
      </w:r>
    </w:p>
    <w:p w14:paraId="3EC93842" w14:textId="77777777" w:rsidR="00E6462F" w:rsidRPr="0068316B" w:rsidRDefault="00E6462F" w:rsidP="00E6462F">
      <w:pPr>
        <w:shd w:val="clear" w:color="auto" w:fill="FBFBFB"/>
        <w:spacing w:before="0" w:after="240" w:line="300" w:lineRule="atLeast"/>
        <w:rPr>
          <w:szCs w:val="22"/>
        </w:rPr>
      </w:pPr>
      <w:r w:rsidRPr="0068316B">
        <w:rPr>
          <w:szCs w:val="22"/>
        </w:rPr>
        <w:t>The intent of MBS item 132 is to support the development of options for discussion with the patient, and family members, if present, including the exploration of treatment modalities and the development of a comprehensive consultant physician treatment and management plan, with discussion of recommendations for services by other health providers as appropriate. </w:t>
      </w:r>
    </w:p>
    <w:p w14:paraId="5D806EBF" w14:textId="38474D6C" w:rsidR="00E6462F" w:rsidRDefault="00E6462F" w:rsidP="00EC078C">
      <w:pPr>
        <w:spacing w:before="0" w:after="0"/>
        <w:rPr>
          <w:szCs w:val="22"/>
        </w:rPr>
      </w:pPr>
      <w:r w:rsidRPr="0068316B">
        <w:rPr>
          <w:szCs w:val="22"/>
        </w:rPr>
        <w:t xml:space="preserve">Item 133 is available in instances where a review of the consultant physician treatment and management plan provided under item 132 is required, up to a maximum of two claims for this item in a </w:t>
      </w:r>
      <w:r w:rsidR="00EC078C" w:rsidRPr="0068316B">
        <w:rPr>
          <w:szCs w:val="22"/>
        </w:rPr>
        <w:t>12-month</w:t>
      </w:r>
      <w:r w:rsidRPr="0068316B">
        <w:rPr>
          <w:szCs w:val="22"/>
        </w:rPr>
        <w:t xml:space="preserve"> period. Should further reviews of the consultant physician treatment</w:t>
      </w:r>
    </w:p>
    <w:p w14:paraId="36B9010D" w14:textId="646EC4B9" w:rsidR="00E6462F" w:rsidRPr="001F38C3" w:rsidRDefault="00E6462F" w:rsidP="00EC078C">
      <w:pPr>
        <w:spacing w:before="0" w:after="0"/>
        <w:rPr>
          <w:szCs w:val="22"/>
        </w:rPr>
      </w:pPr>
      <w:r w:rsidRPr="0068316B">
        <w:rPr>
          <w:szCs w:val="22"/>
        </w:rPr>
        <w:t xml:space="preserve">and management plan be required, the appropriate </w:t>
      </w:r>
      <w:r>
        <w:rPr>
          <w:szCs w:val="22"/>
        </w:rPr>
        <w:t xml:space="preserve">face to face </w:t>
      </w:r>
      <w:r w:rsidRPr="0068316B">
        <w:rPr>
          <w:szCs w:val="22"/>
        </w:rPr>
        <w:t>item for such service/s is 116. </w:t>
      </w:r>
    </w:p>
    <w:p w14:paraId="5609DF03" w14:textId="21BFC9C9" w:rsidR="0068316B" w:rsidRPr="0068316B" w:rsidRDefault="0068316B" w:rsidP="0068316B">
      <w:pPr>
        <w:shd w:val="clear" w:color="auto" w:fill="FBFBFB"/>
        <w:spacing w:before="0" w:after="240" w:line="300" w:lineRule="atLeast"/>
        <w:rPr>
          <w:szCs w:val="22"/>
        </w:rPr>
      </w:pPr>
    </w:p>
    <w:p w14:paraId="4B2559AC" w14:textId="27628E06" w:rsidR="00064168" w:rsidRDefault="00064168" w:rsidP="00064168">
      <w:pPr>
        <w:pStyle w:val="Heading2"/>
      </w:pPr>
      <w:r>
        <w:lastRenderedPageBreak/>
        <w:t>What does this mean for providers?</w:t>
      </w:r>
    </w:p>
    <w:p w14:paraId="2B8001F4" w14:textId="46469FE2" w:rsidR="00800A01" w:rsidRPr="009C5EC9" w:rsidRDefault="00CA72D0" w:rsidP="00800A01">
      <w:pPr>
        <w:rPr>
          <w:rFonts w:cs="Arial"/>
          <w:color w:val="222222"/>
          <w:szCs w:val="22"/>
          <w:shd w:val="clear" w:color="auto" w:fill="FFFFFF"/>
        </w:rPr>
      </w:pPr>
      <w:r w:rsidRPr="009C5EC9">
        <w:rPr>
          <w:rFonts w:cs="Arial"/>
          <w:color w:val="222222"/>
          <w:szCs w:val="22"/>
          <w:shd w:val="clear" w:color="auto" w:fill="FFFFFF"/>
        </w:rPr>
        <w:t>M</w:t>
      </w:r>
      <w:r w:rsidR="00A701DD" w:rsidRPr="009C5EC9">
        <w:rPr>
          <w:rFonts w:cs="Arial"/>
          <w:color w:val="222222"/>
          <w:szCs w:val="22"/>
          <w:shd w:val="clear" w:color="auto" w:fill="FFFFFF"/>
        </w:rPr>
        <w:t>BS</w:t>
      </w:r>
      <w:r w:rsidRPr="009C5EC9">
        <w:rPr>
          <w:rFonts w:cs="Arial"/>
          <w:color w:val="222222"/>
          <w:szCs w:val="22"/>
          <w:shd w:val="clear" w:color="auto" w:fill="FFFFFF"/>
        </w:rPr>
        <w:t xml:space="preserve"> </w:t>
      </w:r>
      <w:r w:rsidR="00CE775B" w:rsidRPr="009C5EC9">
        <w:rPr>
          <w:rFonts w:cs="Arial"/>
          <w:color w:val="222222"/>
          <w:szCs w:val="22"/>
          <w:shd w:val="clear" w:color="auto" w:fill="FFFFFF"/>
        </w:rPr>
        <w:t xml:space="preserve">item </w:t>
      </w:r>
      <w:r w:rsidRPr="009C5EC9">
        <w:rPr>
          <w:rFonts w:cs="Arial"/>
          <w:color w:val="222222"/>
          <w:szCs w:val="22"/>
          <w:shd w:val="clear" w:color="auto" w:fill="FFFFFF"/>
        </w:rPr>
        <w:t>1</w:t>
      </w:r>
      <w:r w:rsidR="00427EB3">
        <w:rPr>
          <w:rFonts w:cs="Arial"/>
          <w:color w:val="222222"/>
          <w:szCs w:val="22"/>
          <w:shd w:val="clear" w:color="auto" w:fill="FFFFFF"/>
        </w:rPr>
        <w:t>3</w:t>
      </w:r>
      <w:r w:rsidR="00EC10E0">
        <w:rPr>
          <w:rFonts w:cs="Arial"/>
          <w:color w:val="222222"/>
          <w:szCs w:val="22"/>
          <w:shd w:val="clear" w:color="auto" w:fill="FFFFFF"/>
        </w:rPr>
        <w:t>2</w:t>
      </w:r>
      <w:r w:rsidR="00C927B1">
        <w:rPr>
          <w:rFonts w:cs="Arial"/>
          <w:color w:val="222222"/>
          <w:szCs w:val="22"/>
          <w:shd w:val="clear" w:color="auto" w:fill="FFFFFF"/>
        </w:rPr>
        <w:t xml:space="preserve"> </w:t>
      </w:r>
      <w:r w:rsidR="00EF6386">
        <w:rPr>
          <w:rFonts w:cs="Arial"/>
          <w:color w:val="222222"/>
          <w:szCs w:val="22"/>
          <w:shd w:val="clear" w:color="auto" w:fill="FFFFFF"/>
        </w:rPr>
        <w:t>c</w:t>
      </w:r>
      <w:r w:rsidR="009E68A1" w:rsidRPr="009C5EC9">
        <w:rPr>
          <w:rFonts w:cs="Arial"/>
          <w:color w:val="222222"/>
          <w:szCs w:val="22"/>
          <w:shd w:val="clear" w:color="auto" w:fill="FFFFFF"/>
        </w:rPr>
        <w:t xml:space="preserve">urrently </w:t>
      </w:r>
      <w:r w:rsidR="00933804" w:rsidRPr="009C5EC9">
        <w:rPr>
          <w:rFonts w:cs="Arial"/>
          <w:color w:val="222222"/>
          <w:szCs w:val="22"/>
          <w:shd w:val="clear" w:color="auto" w:fill="FFFFFF"/>
        </w:rPr>
        <w:t>require</w:t>
      </w:r>
      <w:r w:rsidR="00CE6FD3">
        <w:rPr>
          <w:rFonts w:cs="Arial"/>
          <w:color w:val="222222"/>
          <w:szCs w:val="22"/>
          <w:shd w:val="clear" w:color="auto" w:fill="FFFFFF"/>
        </w:rPr>
        <w:t>s</w:t>
      </w:r>
      <w:r w:rsidR="00933804" w:rsidRPr="009C5EC9">
        <w:rPr>
          <w:rFonts w:cs="Arial"/>
          <w:color w:val="222222"/>
          <w:szCs w:val="22"/>
          <w:shd w:val="clear" w:color="auto" w:fill="FFFFFF"/>
        </w:rPr>
        <w:t xml:space="preserve"> a referral and </w:t>
      </w:r>
      <w:r w:rsidRPr="009C5EC9">
        <w:rPr>
          <w:rFonts w:cs="Arial"/>
          <w:color w:val="222222"/>
          <w:szCs w:val="22"/>
          <w:shd w:val="clear" w:color="auto" w:fill="FFFFFF"/>
        </w:rPr>
        <w:t xml:space="preserve">must be provided by a consultant physician </w:t>
      </w:r>
      <w:r w:rsidR="00EF6386">
        <w:rPr>
          <w:rFonts w:cs="Arial"/>
          <w:color w:val="222222"/>
          <w:szCs w:val="22"/>
          <w:shd w:val="clear" w:color="auto" w:fill="FFFFFF"/>
        </w:rPr>
        <w:t>(other than specialist psychiatrists</w:t>
      </w:r>
      <w:r w:rsidR="00D243C2">
        <w:rPr>
          <w:rFonts w:cs="Arial"/>
          <w:color w:val="222222"/>
          <w:szCs w:val="22"/>
          <w:shd w:val="clear" w:color="auto" w:fill="FFFFFF"/>
        </w:rPr>
        <w:t xml:space="preserve">). </w:t>
      </w:r>
      <w:r w:rsidRPr="009C5EC9">
        <w:rPr>
          <w:rFonts w:cs="Arial"/>
          <w:color w:val="222222"/>
          <w:szCs w:val="22"/>
        </w:rPr>
        <w:br/>
      </w:r>
    </w:p>
    <w:p w14:paraId="6F2DA3CB" w14:textId="3BB58F8B" w:rsidR="00800A01" w:rsidRPr="0068316B" w:rsidRDefault="00800A01" w:rsidP="00800A01">
      <w:pPr>
        <w:rPr>
          <w:rFonts w:cs="Arial"/>
          <w:color w:val="222222"/>
          <w:szCs w:val="22"/>
          <w:shd w:val="clear" w:color="auto" w:fill="FFFFFF"/>
        </w:rPr>
      </w:pPr>
      <w:r w:rsidRPr="009C5EC9">
        <w:rPr>
          <w:rFonts w:cs="Arial"/>
          <w:color w:val="222222"/>
          <w:szCs w:val="22"/>
          <w:shd w:val="clear" w:color="auto" w:fill="FFFFFF"/>
        </w:rPr>
        <w:t xml:space="preserve">A GP referral </w:t>
      </w:r>
      <w:r w:rsidR="00F75550">
        <w:rPr>
          <w:rFonts w:cs="Arial"/>
          <w:color w:val="222222"/>
          <w:szCs w:val="22"/>
          <w:shd w:val="clear" w:color="auto" w:fill="FFFFFF"/>
        </w:rPr>
        <w:t>for th</w:t>
      </w:r>
      <w:r w:rsidR="00CE6FD3">
        <w:rPr>
          <w:rFonts w:cs="Arial"/>
          <w:color w:val="222222"/>
          <w:szCs w:val="22"/>
          <w:shd w:val="clear" w:color="auto" w:fill="FFFFFF"/>
        </w:rPr>
        <w:t>i</w:t>
      </w:r>
      <w:r w:rsidR="00F75550">
        <w:rPr>
          <w:rFonts w:cs="Arial"/>
          <w:color w:val="222222"/>
          <w:szCs w:val="22"/>
          <w:shd w:val="clear" w:color="auto" w:fill="FFFFFF"/>
        </w:rPr>
        <w:t xml:space="preserve">s item </w:t>
      </w:r>
      <w:r w:rsidRPr="009C5EC9">
        <w:rPr>
          <w:rFonts w:cs="Arial"/>
          <w:color w:val="222222"/>
          <w:szCs w:val="22"/>
          <w:shd w:val="clear" w:color="auto" w:fill="FFFFFF"/>
        </w:rPr>
        <w:t>should include:</w:t>
      </w:r>
    </w:p>
    <w:p w14:paraId="47761E81" w14:textId="77777777" w:rsidR="00FE0ADA" w:rsidRPr="0068316B" w:rsidRDefault="00FE0ADA" w:rsidP="00FE0ADA">
      <w:pPr>
        <w:numPr>
          <w:ilvl w:val="0"/>
          <w:numId w:val="36"/>
        </w:numPr>
        <w:shd w:val="clear" w:color="auto" w:fill="FFFFFF"/>
        <w:spacing w:before="0" w:after="90" w:line="300" w:lineRule="atLeast"/>
        <w:rPr>
          <w:rFonts w:cs="Arial"/>
          <w:color w:val="222222"/>
          <w:szCs w:val="22"/>
          <w:shd w:val="clear" w:color="auto" w:fill="FFFFFF"/>
        </w:rPr>
      </w:pPr>
      <w:r w:rsidRPr="0068316B">
        <w:rPr>
          <w:rFonts w:cs="Arial"/>
          <w:color w:val="222222"/>
          <w:szCs w:val="22"/>
          <w:shd w:val="clear" w:color="auto" w:fill="FFFFFF"/>
        </w:rPr>
        <w:t>presenting symptoms and current difficulties</w:t>
      </w:r>
    </w:p>
    <w:p w14:paraId="197D06EB" w14:textId="77777777" w:rsidR="00FE0ADA" w:rsidRPr="0068316B" w:rsidRDefault="00FE0ADA" w:rsidP="00FE0ADA">
      <w:pPr>
        <w:numPr>
          <w:ilvl w:val="0"/>
          <w:numId w:val="36"/>
        </w:numPr>
        <w:shd w:val="clear" w:color="auto" w:fill="FFFFFF"/>
        <w:spacing w:before="0" w:after="90" w:line="300" w:lineRule="atLeast"/>
        <w:rPr>
          <w:rFonts w:cs="Arial"/>
          <w:color w:val="222222"/>
          <w:szCs w:val="22"/>
          <w:shd w:val="clear" w:color="auto" w:fill="FFFFFF"/>
        </w:rPr>
      </w:pPr>
      <w:r w:rsidRPr="0068316B">
        <w:rPr>
          <w:rFonts w:cs="Arial"/>
          <w:color w:val="222222"/>
          <w:szCs w:val="22"/>
          <w:shd w:val="clear" w:color="auto" w:fill="FFFFFF"/>
        </w:rPr>
        <w:t>patient’s history</w:t>
      </w:r>
    </w:p>
    <w:p w14:paraId="6C7F26DB" w14:textId="77777777" w:rsidR="00FE0ADA" w:rsidRPr="0068316B" w:rsidRDefault="00FE0ADA" w:rsidP="00FE0ADA">
      <w:pPr>
        <w:numPr>
          <w:ilvl w:val="0"/>
          <w:numId w:val="36"/>
        </w:numPr>
        <w:shd w:val="clear" w:color="auto" w:fill="FFFFFF"/>
        <w:spacing w:before="0" w:after="90" w:line="300" w:lineRule="atLeast"/>
        <w:rPr>
          <w:rFonts w:cs="Arial"/>
          <w:color w:val="222222"/>
          <w:szCs w:val="22"/>
          <w:shd w:val="clear" w:color="auto" w:fill="FFFFFF"/>
        </w:rPr>
      </w:pPr>
      <w:r w:rsidRPr="0068316B">
        <w:rPr>
          <w:rFonts w:cs="Arial"/>
          <w:color w:val="222222"/>
          <w:szCs w:val="22"/>
          <w:shd w:val="clear" w:color="auto" w:fill="FFFFFF"/>
        </w:rPr>
        <w:t>relevant pathology results</w:t>
      </w:r>
    </w:p>
    <w:p w14:paraId="65029651" w14:textId="77777777" w:rsidR="00FE0ADA" w:rsidRPr="0068316B" w:rsidRDefault="00FE0ADA" w:rsidP="00FE0ADA">
      <w:pPr>
        <w:numPr>
          <w:ilvl w:val="0"/>
          <w:numId w:val="36"/>
        </w:numPr>
        <w:shd w:val="clear" w:color="auto" w:fill="FFFFFF"/>
        <w:spacing w:before="0" w:after="90" w:line="300" w:lineRule="atLeast"/>
        <w:rPr>
          <w:rFonts w:cs="Arial"/>
          <w:color w:val="222222"/>
          <w:szCs w:val="22"/>
          <w:shd w:val="clear" w:color="auto" w:fill="FFFFFF"/>
        </w:rPr>
      </w:pPr>
      <w:r w:rsidRPr="0068316B">
        <w:rPr>
          <w:rFonts w:cs="Arial"/>
          <w:color w:val="222222"/>
          <w:szCs w:val="22"/>
          <w:shd w:val="clear" w:color="auto" w:fill="FFFFFF"/>
        </w:rPr>
        <w:t>medications details (including interactions)</w:t>
      </w:r>
    </w:p>
    <w:p w14:paraId="2F4D9DE2" w14:textId="77777777" w:rsidR="00FE0ADA" w:rsidRPr="0068316B" w:rsidRDefault="00FE0ADA" w:rsidP="00FE0ADA">
      <w:pPr>
        <w:numPr>
          <w:ilvl w:val="0"/>
          <w:numId w:val="36"/>
        </w:numPr>
        <w:shd w:val="clear" w:color="auto" w:fill="FFFFFF"/>
        <w:spacing w:before="0" w:after="90" w:line="300" w:lineRule="atLeast"/>
        <w:rPr>
          <w:rFonts w:cs="Arial"/>
          <w:color w:val="222222"/>
          <w:szCs w:val="22"/>
          <w:shd w:val="clear" w:color="auto" w:fill="FFFFFF"/>
        </w:rPr>
      </w:pPr>
      <w:r w:rsidRPr="0068316B">
        <w:rPr>
          <w:rFonts w:cs="Arial"/>
          <w:color w:val="222222"/>
          <w:szCs w:val="22"/>
          <w:shd w:val="clear" w:color="auto" w:fill="FFFFFF"/>
        </w:rPr>
        <w:t>relevant care plans</w:t>
      </w:r>
    </w:p>
    <w:p w14:paraId="4FAEB5A0" w14:textId="55ACF3F8" w:rsidR="00FE0ADA" w:rsidRDefault="00FE0ADA" w:rsidP="00FE0ADA">
      <w:pPr>
        <w:numPr>
          <w:ilvl w:val="0"/>
          <w:numId w:val="36"/>
        </w:numPr>
        <w:shd w:val="clear" w:color="auto" w:fill="FFFFFF"/>
        <w:spacing w:before="0" w:after="90" w:line="300" w:lineRule="atLeast"/>
        <w:rPr>
          <w:rFonts w:cs="Arial"/>
          <w:color w:val="222222"/>
          <w:szCs w:val="22"/>
          <w:shd w:val="clear" w:color="auto" w:fill="FFFFFF"/>
        </w:rPr>
      </w:pPr>
      <w:r w:rsidRPr="0068316B">
        <w:rPr>
          <w:rFonts w:cs="Arial"/>
          <w:color w:val="222222"/>
          <w:szCs w:val="22"/>
          <w:shd w:val="clear" w:color="auto" w:fill="FFFFFF"/>
        </w:rPr>
        <w:t>assessments by other health professionals</w:t>
      </w:r>
    </w:p>
    <w:p w14:paraId="15FF2A76" w14:textId="2EE9F77D" w:rsidR="00607C2E" w:rsidRDefault="00607C2E" w:rsidP="00607C2E">
      <w:pPr>
        <w:pStyle w:val="Heading2"/>
      </w:pPr>
      <w:r>
        <w:t>What does this mean for patients?</w:t>
      </w:r>
    </w:p>
    <w:p w14:paraId="52146393" w14:textId="671843AA" w:rsidR="00757BFD" w:rsidRDefault="00757BFD" w:rsidP="00E6141E">
      <w:pPr>
        <w:rPr>
          <w:rFonts w:cs="Arial"/>
          <w:color w:val="222222"/>
          <w:szCs w:val="22"/>
          <w:shd w:val="clear" w:color="auto" w:fill="FFFFFF"/>
        </w:rPr>
      </w:pPr>
      <w:r w:rsidRPr="006F5073">
        <w:t xml:space="preserve">Patients will </w:t>
      </w:r>
      <w:r>
        <w:t>cont</w:t>
      </w:r>
      <w:r w:rsidR="00705CF5">
        <w:t xml:space="preserve">inue to </w:t>
      </w:r>
      <w:r w:rsidRPr="006F5073">
        <w:t xml:space="preserve">receive Medicare </w:t>
      </w:r>
      <w:r w:rsidR="00EC078C">
        <w:t>benefit</w:t>
      </w:r>
      <w:r w:rsidRPr="006F5073">
        <w:t xml:space="preserve">s for </w:t>
      </w:r>
      <w:r w:rsidR="00EC10E0">
        <w:t xml:space="preserve">consultant physician </w:t>
      </w:r>
      <w:r w:rsidRPr="006F5073">
        <w:t xml:space="preserve">services that are clinically appropriate and reflect modern clinical </w:t>
      </w:r>
      <w:r w:rsidR="00345778" w:rsidRPr="006F5073">
        <w:t>practice.</w:t>
      </w:r>
      <w:r w:rsidRPr="009C5EC9">
        <w:rPr>
          <w:rFonts w:cs="Arial"/>
          <w:color w:val="222222"/>
          <w:szCs w:val="22"/>
          <w:shd w:val="clear" w:color="auto" w:fill="FFFFFF"/>
        </w:rPr>
        <w:t xml:space="preserve"> </w:t>
      </w:r>
    </w:p>
    <w:p w14:paraId="0170668E" w14:textId="28E8B10B" w:rsidR="00E6141E" w:rsidRPr="009C5EC9" w:rsidRDefault="00054C8E" w:rsidP="00E6141E">
      <w:pPr>
        <w:rPr>
          <w:rFonts w:cs="Arial"/>
          <w:color w:val="auto"/>
          <w:sz w:val="24"/>
          <w:szCs w:val="28"/>
        </w:rPr>
      </w:pPr>
      <w:r>
        <w:rPr>
          <w:rFonts w:cs="Arial"/>
          <w:color w:val="222222"/>
          <w:szCs w:val="22"/>
          <w:shd w:val="clear" w:color="auto" w:fill="FFFFFF"/>
        </w:rPr>
        <w:t>Following the assessment, a</w:t>
      </w:r>
      <w:r w:rsidR="00E6141E" w:rsidRPr="009C5EC9">
        <w:rPr>
          <w:rFonts w:cs="Arial"/>
          <w:color w:val="222222"/>
          <w:szCs w:val="22"/>
          <w:shd w:val="clear" w:color="auto" w:fill="FFFFFF"/>
        </w:rPr>
        <w:t xml:space="preserve"> consultant physician may refer a patient to an allied health professional, but the allied health service will not be eligible for a Medicare </w:t>
      </w:r>
      <w:r w:rsidR="00EC078C">
        <w:rPr>
          <w:rFonts w:cs="Arial"/>
          <w:color w:val="222222"/>
          <w:szCs w:val="22"/>
          <w:shd w:val="clear" w:color="auto" w:fill="FFFFFF"/>
        </w:rPr>
        <w:t>benefit</w:t>
      </w:r>
      <w:r w:rsidR="00EC078C" w:rsidRPr="009C5EC9">
        <w:rPr>
          <w:rFonts w:cs="Arial"/>
          <w:color w:val="222222"/>
          <w:szCs w:val="22"/>
          <w:shd w:val="clear" w:color="auto" w:fill="FFFFFF"/>
        </w:rPr>
        <w:t xml:space="preserve"> </w:t>
      </w:r>
      <w:r w:rsidR="00345778" w:rsidRPr="009C5EC9">
        <w:rPr>
          <w:rFonts w:cs="Arial"/>
          <w:color w:val="222222"/>
          <w:szCs w:val="22"/>
          <w:shd w:val="clear" w:color="auto" w:fill="FFFFFF"/>
        </w:rPr>
        <w:t>because of</w:t>
      </w:r>
      <w:r w:rsidR="00E6141E" w:rsidRPr="009C5EC9">
        <w:rPr>
          <w:rFonts w:cs="Arial"/>
          <w:color w:val="222222"/>
          <w:szCs w:val="22"/>
          <w:shd w:val="clear" w:color="auto" w:fill="FFFFFF"/>
        </w:rPr>
        <w:t xml:space="preserve"> this referral. To be eligible for a Medicare benefit for allied health services, the patient must be:</w:t>
      </w:r>
    </w:p>
    <w:p w14:paraId="501B18AD" w14:textId="4E84EEAA" w:rsidR="00E6141E" w:rsidRPr="009C5EC9" w:rsidRDefault="00E6141E" w:rsidP="00E6141E">
      <w:pPr>
        <w:numPr>
          <w:ilvl w:val="0"/>
          <w:numId w:val="33"/>
        </w:numPr>
        <w:shd w:val="clear" w:color="auto" w:fill="FFFFFF"/>
        <w:spacing w:before="0" w:after="90" w:line="300" w:lineRule="atLeast"/>
        <w:rPr>
          <w:rFonts w:cs="Arial"/>
          <w:color w:val="222222"/>
          <w:szCs w:val="22"/>
        </w:rPr>
      </w:pPr>
      <w:r w:rsidRPr="009C5EC9">
        <w:rPr>
          <w:rFonts w:cs="Arial"/>
          <w:color w:val="222222"/>
          <w:szCs w:val="22"/>
        </w:rPr>
        <w:t>managed by their GP using a GPMP and TCA</w:t>
      </w:r>
      <w:r w:rsidR="00305D4A">
        <w:rPr>
          <w:rFonts w:cs="Arial"/>
          <w:color w:val="222222"/>
          <w:szCs w:val="22"/>
        </w:rPr>
        <w:t>, or</w:t>
      </w:r>
    </w:p>
    <w:p w14:paraId="3A8E758A" w14:textId="2F053EFB" w:rsidR="00E6141E" w:rsidRDefault="00E6141E" w:rsidP="00E6141E">
      <w:pPr>
        <w:numPr>
          <w:ilvl w:val="0"/>
          <w:numId w:val="33"/>
        </w:numPr>
        <w:shd w:val="clear" w:color="auto" w:fill="FFFFFF"/>
        <w:spacing w:before="0" w:after="90" w:line="300" w:lineRule="atLeast"/>
        <w:rPr>
          <w:rFonts w:cs="Arial"/>
          <w:color w:val="222222"/>
          <w:szCs w:val="22"/>
        </w:rPr>
      </w:pPr>
      <w:r w:rsidRPr="009C5EC9">
        <w:rPr>
          <w:rFonts w:cs="Arial"/>
          <w:color w:val="222222"/>
          <w:szCs w:val="22"/>
        </w:rPr>
        <w:t>referred to eligible services by their GP</w:t>
      </w:r>
      <w:r w:rsidR="00345778">
        <w:rPr>
          <w:rFonts w:cs="Arial"/>
          <w:color w:val="222222"/>
          <w:szCs w:val="22"/>
        </w:rPr>
        <w:t>.</w:t>
      </w:r>
    </w:p>
    <w:p w14:paraId="5BD9BE80" w14:textId="01DCB623" w:rsidR="00064168" w:rsidRDefault="00E6141E" w:rsidP="00EC078C">
      <w:pPr>
        <w:spacing w:after="0"/>
      </w:pPr>
      <w:r w:rsidRPr="009C5EC9">
        <w:rPr>
          <w:rFonts w:cs="Arial"/>
          <w:color w:val="222222"/>
          <w:szCs w:val="22"/>
          <w:shd w:val="clear" w:color="auto" w:fill="FFFFFF"/>
        </w:rPr>
        <w:t xml:space="preserve">This does not prevent a </w:t>
      </w:r>
      <w:r w:rsidR="00EC10E0">
        <w:rPr>
          <w:rFonts w:cs="Arial"/>
          <w:color w:val="222222"/>
          <w:szCs w:val="22"/>
          <w:shd w:val="clear" w:color="auto" w:fill="FFFFFF"/>
        </w:rPr>
        <w:t>consultant physician</w:t>
      </w:r>
      <w:r w:rsidRPr="009C5EC9">
        <w:rPr>
          <w:rFonts w:cs="Arial"/>
          <w:color w:val="222222"/>
          <w:szCs w:val="22"/>
          <w:shd w:val="clear" w:color="auto" w:fill="FFFFFF"/>
        </w:rPr>
        <w:t xml:space="preserve"> from identifying the need for allied health services, but it does require the GP to review the TCAs </w:t>
      </w:r>
      <w:r w:rsidR="00345778" w:rsidRPr="009C5EC9">
        <w:rPr>
          <w:rFonts w:cs="Arial"/>
          <w:color w:val="222222"/>
          <w:szCs w:val="22"/>
          <w:shd w:val="clear" w:color="auto" w:fill="FFFFFF"/>
        </w:rPr>
        <w:t>to</w:t>
      </w:r>
      <w:r w:rsidRPr="009C5EC9">
        <w:rPr>
          <w:rFonts w:cs="Arial"/>
          <w:color w:val="222222"/>
          <w:szCs w:val="22"/>
          <w:shd w:val="clear" w:color="auto" w:fill="FFFFFF"/>
        </w:rPr>
        <w:t xml:space="preserve"> incorporate specialist recommendation/s and to make an allied health referral that meets Medicare requirements.</w:t>
      </w:r>
      <w:r w:rsidRPr="009C5EC9">
        <w:rPr>
          <w:rFonts w:cs="Arial"/>
          <w:color w:val="222222"/>
          <w:szCs w:val="22"/>
        </w:rPr>
        <w:br/>
      </w:r>
      <w:r w:rsidR="00064168" w:rsidRPr="001A7FB7">
        <w:t>Who was consulted on the changes?</w:t>
      </w:r>
    </w:p>
    <w:p w14:paraId="4B6E1455" w14:textId="7F151534" w:rsidR="00064168" w:rsidRPr="00867595" w:rsidRDefault="00BE79AF" w:rsidP="00064168">
      <w:pPr>
        <w:rPr>
          <w:szCs w:val="22"/>
        </w:rPr>
      </w:pPr>
      <w:r w:rsidRPr="00305D4A">
        <w:rPr>
          <w:szCs w:val="22"/>
        </w:rPr>
        <w:t xml:space="preserve">The items were introduced in 2007 following consultation with the </w:t>
      </w:r>
      <w:r w:rsidR="0073678E" w:rsidRPr="00305D4A">
        <w:rPr>
          <w:szCs w:val="22"/>
        </w:rPr>
        <w:t xml:space="preserve">Australian Medical </w:t>
      </w:r>
      <w:r w:rsidR="00AF04FA" w:rsidRPr="00305D4A">
        <w:rPr>
          <w:szCs w:val="22"/>
        </w:rPr>
        <w:t xml:space="preserve">Association and the </w:t>
      </w:r>
      <w:r w:rsidR="00EC10E0">
        <w:rPr>
          <w:szCs w:val="22"/>
        </w:rPr>
        <w:t>Australian Association of Consultant Physicians.</w:t>
      </w:r>
      <w:r w:rsidRPr="00305D4A">
        <w:rPr>
          <w:szCs w:val="22"/>
        </w:rP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2B1CC256" w14:textId="77777777" w:rsidR="00AC5368" w:rsidRDefault="00AC5368" w:rsidP="00AC5368">
      <w:pPr>
        <w:pStyle w:val="ListParagraph"/>
        <w:numPr>
          <w:ilvl w:val="1"/>
          <w:numId w:val="37"/>
        </w:numPr>
        <w:spacing w:before="0" w:after="200"/>
      </w:pPr>
      <w:r w:rsidRPr="00E43220">
        <w:t>Providers must ensure that Medicare services requested or claimed using their provider number meet all legislative requirements. These services should also be considered acceptable by a general body of their profession.</w:t>
      </w:r>
      <w:r>
        <w:t xml:space="preserve"> </w:t>
      </w:r>
      <w:r w:rsidRPr="00DC0919">
        <w:rPr>
          <w:rFonts w:cs="Arial"/>
          <w:color w:val="222222"/>
          <w:shd w:val="clear" w:color="auto" w:fill="FBFBFB"/>
        </w:rPr>
        <w:t>A</w:t>
      </w:r>
      <w:r>
        <w:t>ll Medicare claiming and requesting is subject to compliance checks. Providers or requesters may be required to submit evidence about the services they bill or request and should</w:t>
      </w:r>
      <w:r w:rsidRPr="00DC0919">
        <w:rPr>
          <w:rFonts w:cs="Arial"/>
          <w:color w:val="222222"/>
          <w:shd w:val="clear" w:color="auto" w:fill="FBFBFB"/>
        </w:rPr>
        <w:t xml:space="preserve"> retain adequate and contemporaneous records.</w:t>
      </w:r>
      <w:r>
        <w:t xml:space="preserve"> More information about the </w:t>
      </w:r>
      <w:r w:rsidRPr="00867595">
        <w:t xml:space="preserve">Department of Health </w:t>
      </w:r>
      <w:r>
        <w:t xml:space="preserve">and Aged Care’s (the department) compliance program can be found on its website at </w:t>
      </w:r>
      <w:hyperlink r:id="rId8" w:tgtFrame="_blank" w:tooltip="https://www.health.gov.au/topics/medicare/compliance" w:history="1">
        <w:r w:rsidRPr="243D3449">
          <w:rPr>
            <w:rStyle w:val="Hyperlink"/>
          </w:rPr>
          <w:t>Medicare compliance</w:t>
        </w:r>
      </w:hyperlink>
      <w:r w:rsidRPr="243D3449">
        <w:rPr>
          <w:rStyle w:val="Hyperlink"/>
        </w:rPr>
        <w:t>.</w:t>
      </w:r>
    </w:p>
    <w:p w14:paraId="3C63E237" w14:textId="77777777" w:rsidR="00064168" w:rsidRDefault="00064168" w:rsidP="00064168">
      <w:pPr>
        <w:pStyle w:val="Heading2"/>
      </w:pPr>
      <w:r>
        <w:lastRenderedPageBreak/>
        <w:t>Where can I find more information?</w:t>
      </w:r>
    </w:p>
    <w:p w14:paraId="5EEA2BAC" w14:textId="3E3456EE" w:rsidR="00064168" w:rsidRPr="00867595" w:rsidRDefault="00064168" w:rsidP="00064168">
      <w:pPr>
        <w:rPr>
          <w:szCs w:val="22"/>
        </w:rPr>
      </w:pPr>
      <w:r w:rsidRPr="00867595">
        <w:rPr>
          <w:szCs w:val="22"/>
        </w:rPr>
        <w:t xml:space="preserve">The full item descriptor(s) and information on other changes to the MBS can be found on the </w:t>
      </w:r>
      <w:hyperlink r:id="rId9"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hyperlink r:id="rId10" w:history="1">
        <w:r w:rsidR="00C02732" w:rsidRPr="00C02732">
          <w:rPr>
            <w:rStyle w:val="Hyperlink"/>
            <w:szCs w:val="22"/>
          </w:rPr>
          <w:t>MBS Online</w:t>
        </w:r>
      </w:hyperlink>
      <w:r w:rsidRPr="00867595">
        <w:rPr>
          <w:szCs w:val="22"/>
        </w:rPr>
        <w:t xml:space="preserve"> and clicking ‘Subscribe’. </w:t>
      </w:r>
    </w:p>
    <w:p w14:paraId="589A6190" w14:textId="5D41BF90" w:rsidR="00064168" w:rsidRDefault="00064168" w:rsidP="00064168">
      <w:pPr>
        <w:rPr>
          <w:szCs w:val="22"/>
        </w:rPr>
      </w:pPr>
      <w:r w:rsidRPr="00867595">
        <w:rPr>
          <w:szCs w:val="22"/>
        </w:rPr>
        <w:t xml:space="preserve">The Department of Health </w:t>
      </w:r>
      <w:r w:rsidR="00F85AFE">
        <w:rPr>
          <w:szCs w:val="22"/>
        </w:rPr>
        <w:t>and Aged Care</w:t>
      </w:r>
      <w:r w:rsidR="00B075CC">
        <w:rPr>
          <w:szCs w:val="22"/>
        </w:rPr>
        <w:t xml:space="preserve"> (</w:t>
      </w:r>
      <w:r w:rsidR="000A30FE">
        <w:rPr>
          <w:szCs w:val="22"/>
        </w:rPr>
        <w:t>the Department)</w:t>
      </w:r>
      <w:r w:rsidR="00F85AFE">
        <w:rPr>
          <w:szCs w:val="22"/>
        </w:rPr>
        <w:t xml:space="preserv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1"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7" w:history="1">
        <w:r w:rsidR="00C02732" w:rsidRPr="00C02732">
          <w:rPr>
            <w:rStyle w:val="Hyperlink"/>
            <w:szCs w:val="22"/>
          </w:rPr>
          <w:t>Downloads</w:t>
        </w:r>
      </w:hyperlink>
      <w:r w:rsidRPr="00867595">
        <w:rPr>
          <w:szCs w:val="22"/>
        </w:rPr>
        <w:t xml:space="preserve"> page.</w:t>
      </w:r>
    </w:p>
    <w:p w14:paraId="6D6EB19D" w14:textId="39EA2529" w:rsidR="00BE3ED5" w:rsidRDefault="005F040A" w:rsidP="00BE3ED5">
      <w:pPr>
        <w:pStyle w:val="Heading2"/>
      </w:pPr>
      <w:r>
        <w:t xml:space="preserve">Current </w:t>
      </w:r>
      <w:r w:rsidR="00BE3ED5" w:rsidRPr="007A32E7">
        <w:t xml:space="preserve">item descriptors </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17C38221" w:rsidR="00BE3ED5" w:rsidRDefault="008437CA" w:rsidP="000F29A4">
            <w:pPr>
              <w:rPr>
                <w:b w:val="0"/>
                <w:bCs w:val="0"/>
                <w:lang w:eastAsia="en-AU"/>
              </w:rPr>
            </w:pPr>
            <w:bookmarkStart w:id="4" w:name="_Hlk118987208"/>
            <w:r>
              <w:rPr>
                <w:lang w:eastAsia="en-AU"/>
              </w:rPr>
              <w:t>Category</w:t>
            </w:r>
            <w:r w:rsidR="00A344C3">
              <w:rPr>
                <w:lang w:eastAsia="en-AU"/>
              </w:rPr>
              <w:t xml:space="preserve"> 1 Professional attendances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94BBE28" w:rsidR="00BE3ED5" w:rsidRDefault="008437CA" w:rsidP="000F29A4">
            <w:pPr>
              <w:rPr>
                <w:b w:val="0"/>
                <w:bCs w:val="0"/>
                <w:lang w:eastAsia="en-AU"/>
              </w:rPr>
            </w:pPr>
            <w:r>
              <w:rPr>
                <w:lang w:eastAsia="en-AU"/>
              </w:rPr>
              <w:t>Group</w:t>
            </w:r>
            <w:r w:rsidR="00A344C3">
              <w:rPr>
                <w:lang w:eastAsia="en-AU"/>
              </w:rPr>
              <w:t xml:space="preserve"> A</w:t>
            </w:r>
            <w:r w:rsidR="00EC10E0">
              <w:rPr>
                <w:lang w:eastAsia="en-AU"/>
              </w:rPr>
              <w:t>4 – consultant physician (other than psychiatry) attendances to which no other item applies</w:t>
            </w:r>
          </w:p>
        </w:tc>
      </w:tr>
      <w:tr w:rsidR="00642F20" w14:paraId="3DDFF680" w14:textId="77777777" w:rsidTr="006E7D4F">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4D076F08" w:rsidR="00642F20" w:rsidRPr="00642F20" w:rsidRDefault="00642F20" w:rsidP="00642F20">
            <w:pPr>
              <w:pStyle w:val="Tabletextleft"/>
              <w:rPr>
                <w:b/>
              </w:rPr>
            </w:pPr>
            <w:r w:rsidRPr="00642F20">
              <w:rPr>
                <w:b/>
              </w:rPr>
              <w:t>Subgroup</w:t>
            </w:r>
            <w:r w:rsidR="00B77427">
              <w:rPr>
                <w:b/>
              </w:rPr>
              <w:t xml:space="preserve"> - nil</w:t>
            </w:r>
          </w:p>
        </w:tc>
      </w:tr>
      <w:tr w:rsidR="00642F20" w14:paraId="25FF7AAD" w14:textId="77777777" w:rsidTr="00EC1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BDF063F" w14:textId="6C9CEC53" w:rsidR="00642F20" w:rsidRPr="00AA6575" w:rsidRDefault="00642F20" w:rsidP="009351EB"/>
        </w:tc>
      </w:tr>
      <w:tr w:rsidR="00642F20" w14:paraId="398A0C81" w14:textId="77777777" w:rsidTr="00374732">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1BED17FD" w:rsidR="00642F20" w:rsidRPr="0068316B" w:rsidRDefault="00C05B58" w:rsidP="0068316B">
            <w:pPr>
              <w:rPr>
                <w:b w:val="0"/>
                <w:bCs w:val="0"/>
                <w:szCs w:val="22"/>
              </w:rPr>
            </w:pPr>
            <w:r w:rsidRPr="0068316B">
              <w:rPr>
                <w:b w:val="0"/>
                <w:bCs w:val="0"/>
                <w:szCs w:val="22"/>
              </w:rPr>
              <w:t xml:space="preserve">Item </w:t>
            </w:r>
            <w:r w:rsidR="00B77427" w:rsidRPr="0068316B">
              <w:rPr>
                <w:b w:val="0"/>
                <w:bCs w:val="0"/>
                <w:szCs w:val="22"/>
              </w:rPr>
              <w:t>1</w:t>
            </w:r>
            <w:r w:rsidR="00EC10E0" w:rsidRPr="0068316B">
              <w:rPr>
                <w:b w:val="0"/>
                <w:bCs w:val="0"/>
                <w:szCs w:val="22"/>
              </w:rPr>
              <w:t>32</w:t>
            </w:r>
          </w:p>
          <w:p w14:paraId="25011E94" w14:textId="17062930" w:rsidR="00EC10E0" w:rsidRPr="0068316B" w:rsidRDefault="00EC10E0" w:rsidP="0068316B">
            <w:pPr>
              <w:pStyle w:val="tabletext0"/>
              <w:spacing w:before="60" w:beforeAutospacing="0" w:after="0" w:afterAutospacing="0" w:line="276" w:lineRule="auto"/>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 xml:space="preserve">Professional attendance by a consultant physician in the practice of the consultant physician’s specialty (other than psychiatry) </w:t>
            </w:r>
            <w:r w:rsidR="00286376" w:rsidRPr="00286376">
              <w:rPr>
                <w:rFonts w:ascii="Arial" w:hAnsi="Arial"/>
                <w:b w:val="0"/>
                <w:bCs w:val="0"/>
                <w:color w:val="000000" w:themeColor="text1"/>
                <w:sz w:val="22"/>
                <w:szCs w:val="22"/>
                <w:lang w:eastAsia="en-US"/>
              </w:rPr>
              <w:t xml:space="preserve">lasting at least </w:t>
            </w:r>
            <w:r w:rsidRPr="0068316B">
              <w:rPr>
                <w:rFonts w:ascii="Arial" w:hAnsi="Arial"/>
                <w:b w:val="0"/>
                <w:bCs w:val="0"/>
                <w:color w:val="000000" w:themeColor="text1"/>
                <w:sz w:val="22"/>
                <w:szCs w:val="22"/>
                <w:lang w:eastAsia="en-US"/>
              </w:rPr>
              <w:t xml:space="preserve">45 minutes </w:t>
            </w:r>
            <w:r w:rsidR="00286376">
              <w:rPr>
                <w:rFonts w:ascii="Arial" w:hAnsi="Arial"/>
                <w:b w:val="0"/>
                <w:bCs w:val="0"/>
                <w:color w:val="000000" w:themeColor="text1"/>
                <w:sz w:val="22"/>
                <w:szCs w:val="22"/>
                <w:lang w:eastAsia="en-US"/>
              </w:rPr>
              <w:t xml:space="preserve">for </w:t>
            </w:r>
            <w:r w:rsidRPr="0068316B">
              <w:rPr>
                <w:rFonts w:ascii="Arial" w:hAnsi="Arial"/>
                <w:b w:val="0"/>
                <w:bCs w:val="0"/>
                <w:color w:val="000000" w:themeColor="text1"/>
                <w:sz w:val="22"/>
                <w:szCs w:val="22"/>
                <w:lang w:eastAsia="en-US"/>
              </w:rPr>
              <w:t>an initial assessment of a patient with at least 2 morbidities (which may include complex congenital, developmental and behavioural disorders) following referral of the patient to the consultant physician by a referring practitioner, if:</w:t>
            </w:r>
          </w:p>
          <w:p w14:paraId="36FECE37" w14:textId="77777777" w:rsidR="00EC10E0" w:rsidRPr="0068316B" w:rsidRDefault="00EC10E0" w:rsidP="0068316B">
            <w:pPr>
              <w:pStyle w:val="tablea"/>
              <w:spacing w:before="60" w:beforeAutospacing="0" w:after="0" w:afterAutospacing="0" w:line="276" w:lineRule="auto"/>
              <w:ind w:left="284"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(a) an assessment is undertaken that covers:</w:t>
            </w:r>
          </w:p>
          <w:p w14:paraId="6839D22B"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lastRenderedPageBreak/>
              <w:t>(</w:t>
            </w:r>
            <w:proofErr w:type="spellStart"/>
            <w:r w:rsidRPr="0068316B">
              <w:rPr>
                <w:rFonts w:ascii="Arial" w:hAnsi="Arial"/>
                <w:b w:val="0"/>
                <w:bCs w:val="0"/>
                <w:color w:val="000000" w:themeColor="text1"/>
                <w:sz w:val="22"/>
                <w:szCs w:val="22"/>
                <w:lang w:eastAsia="en-US"/>
              </w:rPr>
              <w:t>i</w:t>
            </w:r>
            <w:proofErr w:type="spellEnd"/>
            <w:r w:rsidRPr="0068316B">
              <w:rPr>
                <w:rFonts w:ascii="Arial" w:hAnsi="Arial"/>
                <w:b w:val="0"/>
                <w:bCs w:val="0"/>
                <w:color w:val="000000" w:themeColor="text1"/>
                <w:sz w:val="22"/>
                <w:szCs w:val="22"/>
                <w:lang w:eastAsia="en-US"/>
              </w:rPr>
              <w:t>) a comprehensive history, including psychosocial history and medication review; and</w:t>
            </w:r>
          </w:p>
          <w:p w14:paraId="0D40B2B0"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(ii) comprehensive multi or detailed single organ system assessment; and</w:t>
            </w:r>
          </w:p>
          <w:p w14:paraId="0613AF1B"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(iii) the formulation of differential diagnoses; and</w:t>
            </w:r>
          </w:p>
          <w:p w14:paraId="3C3155E2" w14:textId="77777777" w:rsidR="00EC10E0" w:rsidRPr="0068316B" w:rsidRDefault="00EC10E0" w:rsidP="0068316B">
            <w:pPr>
              <w:pStyle w:val="tablea"/>
              <w:spacing w:before="60" w:beforeAutospacing="0" w:after="0" w:afterAutospacing="0" w:line="276" w:lineRule="auto"/>
              <w:ind w:left="284"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(b) a consultant physician treatment and management plan of significant complexity is prepared and provided to the referring practitioner, which involves:</w:t>
            </w:r>
          </w:p>
          <w:p w14:paraId="4BB885FC"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w:t>
            </w:r>
            <w:proofErr w:type="spellStart"/>
            <w:r w:rsidRPr="0068316B">
              <w:rPr>
                <w:rFonts w:ascii="Arial" w:hAnsi="Arial"/>
                <w:b w:val="0"/>
                <w:bCs w:val="0"/>
                <w:color w:val="000000" w:themeColor="text1"/>
                <w:sz w:val="22"/>
                <w:szCs w:val="22"/>
                <w:lang w:eastAsia="en-US"/>
              </w:rPr>
              <w:t>i</w:t>
            </w:r>
            <w:proofErr w:type="spellEnd"/>
            <w:r w:rsidRPr="0068316B">
              <w:rPr>
                <w:rFonts w:ascii="Arial" w:hAnsi="Arial"/>
                <w:b w:val="0"/>
                <w:bCs w:val="0"/>
                <w:color w:val="000000" w:themeColor="text1"/>
                <w:sz w:val="22"/>
                <w:szCs w:val="22"/>
                <w:lang w:eastAsia="en-US"/>
              </w:rPr>
              <w:t>) an opinion on diagnosis and risk assessment; and</w:t>
            </w:r>
          </w:p>
          <w:p w14:paraId="00F8E7F2"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(ii) treatment options and decisions; and</w:t>
            </w:r>
          </w:p>
          <w:p w14:paraId="67E6E8C2"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(iii) medication recommendations; and</w:t>
            </w:r>
          </w:p>
          <w:p w14:paraId="207C3D03" w14:textId="77777777" w:rsidR="00EC10E0" w:rsidRPr="0068316B" w:rsidRDefault="00EC10E0" w:rsidP="0068316B">
            <w:pPr>
              <w:pStyle w:val="tablea"/>
              <w:spacing w:before="60" w:beforeAutospacing="0" w:after="0" w:afterAutospacing="0" w:line="276" w:lineRule="auto"/>
              <w:ind w:left="284"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(c) an attendance on the patient to which item 110, 116 or 119 applies did not take place on the same day by the same consultant physician; and</w:t>
            </w:r>
          </w:p>
          <w:p w14:paraId="593D558F" w14:textId="77777777" w:rsidR="00EC10E0" w:rsidRPr="0068316B" w:rsidRDefault="00EC10E0" w:rsidP="0068316B">
            <w:pPr>
              <w:pStyle w:val="tablea"/>
              <w:spacing w:before="60" w:beforeAutospacing="0" w:after="0" w:afterAutospacing="0" w:line="276" w:lineRule="auto"/>
              <w:ind w:left="284"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(d) this item has not applied to an attendance on the patient in the preceding 12 months by the same consultant physician</w:t>
            </w:r>
          </w:p>
          <w:p w14:paraId="6D310CDA" w14:textId="77777777" w:rsidR="00D740A2" w:rsidRPr="00EC078C" w:rsidRDefault="00D740A2" w:rsidP="00D740A2">
            <w:pPr>
              <w:rPr>
                <w:b w:val="0"/>
                <w:bCs w:val="0"/>
                <w:szCs w:val="22"/>
              </w:rPr>
            </w:pPr>
            <w:r w:rsidRPr="00D740A2">
              <w:rPr>
                <w:szCs w:val="22"/>
              </w:rPr>
              <w:t>Fee: </w:t>
            </w:r>
            <w:r w:rsidRPr="00EC078C">
              <w:rPr>
                <w:b w:val="0"/>
                <w:bCs w:val="0"/>
                <w:szCs w:val="22"/>
              </w:rPr>
              <w:t>$305.15</w:t>
            </w:r>
            <w:r w:rsidRPr="000307E1">
              <w:rPr>
                <w:szCs w:val="22"/>
              </w:rPr>
              <w:t> </w:t>
            </w:r>
            <w:r w:rsidRPr="00D740A2">
              <w:rPr>
                <w:szCs w:val="22"/>
              </w:rPr>
              <w:t>Benefit: </w:t>
            </w:r>
            <w:r w:rsidRPr="00EC078C">
              <w:rPr>
                <w:b w:val="0"/>
                <w:bCs w:val="0"/>
                <w:szCs w:val="22"/>
              </w:rPr>
              <w:t>75% = $228.90 85% = $259.40</w:t>
            </w:r>
          </w:p>
          <w:p w14:paraId="0DC6FE69" w14:textId="77777777" w:rsidR="00D740A2" w:rsidRPr="00EC078C" w:rsidRDefault="00D740A2" w:rsidP="00D740A2">
            <w:pPr>
              <w:rPr>
                <w:b w:val="0"/>
                <w:bCs w:val="0"/>
                <w:szCs w:val="22"/>
              </w:rPr>
            </w:pPr>
            <w:r w:rsidRPr="00EC078C">
              <w:rPr>
                <w:b w:val="0"/>
                <w:bCs w:val="0"/>
                <w:szCs w:val="22"/>
              </w:rPr>
              <w:t>(See para</w:t>
            </w:r>
            <w:r w:rsidRPr="000307E1">
              <w:rPr>
                <w:szCs w:val="22"/>
              </w:rPr>
              <w:t> </w:t>
            </w:r>
            <w:hyperlink r:id="rId18" w:history="1">
              <w:r w:rsidRPr="00EC078C">
                <w:rPr>
                  <w:rStyle w:val="Hyperlink"/>
                  <w:szCs w:val="22"/>
                </w:rPr>
                <w:t>AN.0.7</w:t>
              </w:r>
            </w:hyperlink>
            <w:r w:rsidRPr="00EC078C">
              <w:rPr>
                <w:szCs w:val="22"/>
              </w:rPr>
              <w:t>, </w:t>
            </w:r>
            <w:hyperlink r:id="rId19" w:history="1">
              <w:r w:rsidRPr="00EC078C">
                <w:rPr>
                  <w:rStyle w:val="Hyperlink"/>
                  <w:szCs w:val="22"/>
                </w:rPr>
                <w:t>AN.0.23</w:t>
              </w:r>
            </w:hyperlink>
            <w:r w:rsidRPr="00EC078C">
              <w:rPr>
                <w:szCs w:val="22"/>
              </w:rPr>
              <w:t>, </w:t>
            </w:r>
            <w:hyperlink r:id="rId20" w:history="1">
              <w:r w:rsidRPr="00EC078C">
                <w:rPr>
                  <w:rStyle w:val="Hyperlink"/>
                  <w:szCs w:val="22"/>
                </w:rPr>
                <w:t>AN.40.1</w:t>
              </w:r>
            </w:hyperlink>
            <w:r w:rsidRPr="000307E1">
              <w:rPr>
                <w:szCs w:val="22"/>
              </w:rPr>
              <w:t> </w:t>
            </w:r>
            <w:r w:rsidRPr="00EC078C">
              <w:rPr>
                <w:b w:val="0"/>
                <w:bCs w:val="0"/>
                <w:szCs w:val="22"/>
              </w:rPr>
              <w:t>of explanatory notes to this Category)</w:t>
            </w:r>
          </w:p>
          <w:p w14:paraId="261AB553" w14:textId="51AA9FBF" w:rsidR="00D740A2" w:rsidRPr="00D740A2" w:rsidRDefault="00D740A2" w:rsidP="00D740A2">
            <w:pPr>
              <w:rPr>
                <w:szCs w:val="22"/>
              </w:rPr>
            </w:pPr>
            <w:hyperlink r:id="rId21" w:history="1">
              <w:r w:rsidRPr="000307E1">
                <w:rPr>
                  <w:rStyle w:val="Hyperlink"/>
                  <w:szCs w:val="22"/>
                </w:rPr>
                <w:t>Extended Medicare Safety Net Cap:</w:t>
              </w:r>
            </w:hyperlink>
            <w:r w:rsidRPr="00D740A2">
              <w:rPr>
                <w:szCs w:val="22"/>
              </w:rPr>
              <w:t> </w:t>
            </w:r>
            <w:r w:rsidRPr="00EC078C">
              <w:rPr>
                <w:b w:val="0"/>
                <w:bCs w:val="0"/>
                <w:szCs w:val="22"/>
              </w:rPr>
              <w:t>$500.00</w:t>
            </w:r>
          </w:p>
          <w:p w14:paraId="2F786A12" w14:textId="17F75103" w:rsidR="00D740A2" w:rsidRPr="0068316B" w:rsidRDefault="00D740A2" w:rsidP="00D740A2">
            <w:pPr>
              <w:shd w:val="clear" w:color="auto" w:fill="FBFBFB"/>
              <w:spacing w:before="0" w:after="240"/>
              <w:rPr>
                <w:b w:val="0"/>
                <w:bCs w:val="0"/>
                <w:szCs w:val="22"/>
              </w:rPr>
            </w:pPr>
          </w:p>
        </w:tc>
      </w:tr>
      <w:tr w:rsidR="00B246A5" w14:paraId="4EF4B46F"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118BA6A" w14:textId="4F9A9786" w:rsidR="00EC10E0" w:rsidRPr="0068316B" w:rsidRDefault="0068316B" w:rsidP="0068316B">
            <w:pPr>
              <w:pStyle w:val="tabletext0"/>
              <w:spacing w:before="60" w:beforeAutospacing="0" w:after="0" w:afterAutospacing="0" w:line="276" w:lineRule="auto"/>
              <w:rPr>
                <w:rFonts w:ascii="Arial" w:hAnsi="Arial"/>
                <w:b w:val="0"/>
                <w:bCs w:val="0"/>
                <w:color w:val="000000" w:themeColor="text1"/>
                <w:sz w:val="22"/>
                <w:szCs w:val="22"/>
                <w:lang w:eastAsia="en-US"/>
              </w:rPr>
            </w:pPr>
            <w:r>
              <w:rPr>
                <w:rFonts w:ascii="Arial" w:hAnsi="Arial"/>
                <w:b w:val="0"/>
                <w:bCs w:val="0"/>
                <w:color w:val="000000" w:themeColor="text1"/>
                <w:sz w:val="22"/>
                <w:szCs w:val="22"/>
                <w:lang w:eastAsia="en-US"/>
              </w:rPr>
              <w:lastRenderedPageBreak/>
              <w:t xml:space="preserve">Item </w:t>
            </w:r>
            <w:r w:rsidR="00EC10E0" w:rsidRPr="0068316B">
              <w:rPr>
                <w:rFonts w:ascii="Arial" w:hAnsi="Arial"/>
                <w:b w:val="0"/>
                <w:bCs w:val="0"/>
                <w:color w:val="000000" w:themeColor="text1"/>
                <w:sz w:val="22"/>
                <w:szCs w:val="22"/>
                <w:lang w:eastAsia="en-US"/>
              </w:rPr>
              <w:t>133</w:t>
            </w:r>
          </w:p>
          <w:p w14:paraId="562EAB43" w14:textId="5D5B4AFE" w:rsidR="00EC10E0" w:rsidRPr="0068316B" w:rsidRDefault="00EC10E0" w:rsidP="0068316B">
            <w:pPr>
              <w:pStyle w:val="tabletext0"/>
              <w:spacing w:before="60" w:beforeAutospacing="0" w:after="0" w:afterAutospacing="0" w:line="276" w:lineRule="auto"/>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 xml:space="preserve">Professional attendance by a consultant physician in the practice of the consultant physician’s specialty (other than psychiatry) </w:t>
            </w:r>
            <w:r w:rsidR="006E62E2">
              <w:rPr>
                <w:rFonts w:ascii="Arial" w:hAnsi="Arial"/>
                <w:b w:val="0"/>
                <w:bCs w:val="0"/>
                <w:color w:val="000000" w:themeColor="text1"/>
                <w:sz w:val="22"/>
                <w:szCs w:val="22"/>
                <w:lang w:eastAsia="en-US"/>
              </w:rPr>
              <w:t>lasting at</w:t>
            </w:r>
            <w:r w:rsidRPr="0068316B">
              <w:rPr>
                <w:rFonts w:ascii="Arial" w:hAnsi="Arial"/>
                <w:b w:val="0"/>
                <w:bCs w:val="0"/>
                <w:color w:val="000000" w:themeColor="text1"/>
                <w:sz w:val="22"/>
                <w:szCs w:val="22"/>
                <w:lang w:eastAsia="en-US"/>
              </w:rPr>
              <w:t xml:space="preserve"> least 20 minutes after the </w:t>
            </w:r>
            <w:r w:rsidR="006E62E2">
              <w:rPr>
                <w:rFonts w:ascii="Arial" w:hAnsi="Arial"/>
                <w:b w:val="0"/>
                <w:bCs w:val="0"/>
                <w:color w:val="000000" w:themeColor="text1"/>
                <w:sz w:val="22"/>
                <w:szCs w:val="22"/>
                <w:lang w:eastAsia="en-US"/>
              </w:rPr>
              <w:t>initial</w:t>
            </w:r>
            <w:r w:rsidRPr="0068316B">
              <w:rPr>
                <w:rFonts w:ascii="Arial" w:hAnsi="Arial"/>
                <w:b w:val="0"/>
                <w:bCs w:val="0"/>
                <w:color w:val="000000" w:themeColor="text1"/>
                <w:sz w:val="22"/>
                <w:szCs w:val="22"/>
                <w:lang w:eastAsia="en-US"/>
              </w:rPr>
              <w:t xml:space="preserve"> attendance in a single course of treatment for a review of a patient with at least 2 morbidities (which may include complex congenital, developmental and behavioural disorders) if:</w:t>
            </w:r>
          </w:p>
          <w:p w14:paraId="576CFE28" w14:textId="77777777" w:rsidR="00EC10E0" w:rsidRPr="0068316B" w:rsidRDefault="00EC10E0" w:rsidP="0068316B">
            <w:pPr>
              <w:pStyle w:val="tablea"/>
              <w:spacing w:before="60" w:beforeAutospacing="0" w:after="0" w:afterAutospacing="0" w:line="276" w:lineRule="auto"/>
              <w:ind w:left="284"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(a) a review is undertaken that covers:</w:t>
            </w:r>
          </w:p>
          <w:p w14:paraId="0B5F360D"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w:t>
            </w:r>
            <w:proofErr w:type="spellStart"/>
            <w:r w:rsidRPr="0068316B">
              <w:rPr>
                <w:rFonts w:ascii="Arial" w:hAnsi="Arial"/>
                <w:b w:val="0"/>
                <w:bCs w:val="0"/>
                <w:color w:val="000000" w:themeColor="text1"/>
                <w:sz w:val="22"/>
                <w:szCs w:val="22"/>
                <w:lang w:eastAsia="en-US"/>
              </w:rPr>
              <w:t>i</w:t>
            </w:r>
            <w:proofErr w:type="spellEnd"/>
            <w:r w:rsidRPr="0068316B">
              <w:rPr>
                <w:rFonts w:ascii="Arial" w:hAnsi="Arial"/>
                <w:b w:val="0"/>
                <w:bCs w:val="0"/>
                <w:color w:val="000000" w:themeColor="text1"/>
                <w:sz w:val="22"/>
                <w:szCs w:val="22"/>
                <w:lang w:eastAsia="en-US"/>
              </w:rPr>
              <w:t>) review of initial presenting problems and results of diagnostic investigations; and</w:t>
            </w:r>
          </w:p>
          <w:p w14:paraId="5EA94B51"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(ii) review of responses to treatment and medication plans initiated at time of initial consultation; and</w:t>
            </w:r>
          </w:p>
          <w:p w14:paraId="1FBB3DEA"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(iii) comprehensive multi or detailed single organ system assessment; and</w:t>
            </w:r>
          </w:p>
          <w:p w14:paraId="6D430B87"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(iv) review of original and differential diagnoses; and</w:t>
            </w:r>
          </w:p>
          <w:p w14:paraId="401E2BDC" w14:textId="77777777" w:rsidR="00EC10E0" w:rsidRPr="0068316B" w:rsidRDefault="00EC10E0" w:rsidP="0068316B">
            <w:pPr>
              <w:pStyle w:val="tablea"/>
              <w:spacing w:before="60" w:beforeAutospacing="0" w:after="0" w:afterAutospacing="0" w:line="276" w:lineRule="auto"/>
              <w:ind w:left="284"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(b) the modified consultant physician treatment and management plan is provided to the referring practitioner, which involves, if appropriate:</w:t>
            </w:r>
          </w:p>
          <w:p w14:paraId="60856D76"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w:t>
            </w:r>
            <w:proofErr w:type="spellStart"/>
            <w:r w:rsidRPr="0068316B">
              <w:rPr>
                <w:rFonts w:ascii="Arial" w:hAnsi="Arial"/>
                <w:b w:val="0"/>
                <w:bCs w:val="0"/>
                <w:color w:val="000000" w:themeColor="text1"/>
                <w:sz w:val="22"/>
                <w:szCs w:val="22"/>
                <w:lang w:eastAsia="en-US"/>
              </w:rPr>
              <w:t>i</w:t>
            </w:r>
            <w:proofErr w:type="spellEnd"/>
            <w:r w:rsidRPr="0068316B">
              <w:rPr>
                <w:rFonts w:ascii="Arial" w:hAnsi="Arial"/>
                <w:b w:val="0"/>
                <w:bCs w:val="0"/>
                <w:color w:val="000000" w:themeColor="text1"/>
                <w:sz w:val="22"/>
                <w:szCs w:val="22"/>
                <w:lang w:eastAsia="en-US"/>
              </w:rPr>
              <w:t>) a revised opinion on the diagnosis and risk assessment; and</w:t>
            </w:r>
          </w:p>
          <w:p w14:paraId="79C54033"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(ii) treatment options and decisions; and</w:t>
            </w:r>
          </w:p>
          <w:p w14:paraId="1F3CD9CB" w14:textId="77777777" w:rsidR="00EC10E0" w:rsidRPr="0068316B" w:rsidRDefault="00EC10E0" w:rsidP="0068316B">
            <w:pPr>
              <w:pStyle w:val="tablei"/>
              <w:spacing w:before="0" w:beforeAutospacing="0" w:after="0" w:afterAutospacing="0" w:line="276" w:lineRule="auto"/>
              <w:ind w:left="828"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(iii) revised medication recommendations; and</w:t>
            </w:r>
          </w:p>
          <w:p w14:paraId="7C7BFE8F" w14:textId="77777777" w:rsidR="00EC10E0" w:rsidRPr="0068316B" w:rsidRDefault="00EC10E0" w:rsidP="0068316B">
            <w:pPr>
              <w:pStyle w:val="tablea"/>
              <w:spacing w:before="60" w:beforeAutospacing="0" w:after="0" w:afterAutospacing="0" w:line="276" w:lineRule="auto"/>
              <w:ind w:left="284"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(c) an attendance on the patient to which item 110, 116 or 119 applies did not take place on the same day by the same consultant physician; and</w:t>
            </w:r>
          </w:p>
          <w:p w14:paraId="3BE1AE88" w14:textId="77777777" w:rsidR="00EC10E0" w:rsidRPr="0068316B" w:rsidRDefault="00EC10E0" w:rsidP="0068316B">
            <w:pPr>
              <w:pStyle w:val="tablea"/>
              <w:spacing w:before="60" w:beforeAutospacing="0" w:after="0" w:afterAutospacing="0" w:line="276" w:lineRule="auto"/>
              <w:ind w:left="284"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(d) item 132 applied to an attendance claimed in the preceding 12 months; and</w:t>
            </w:r>
          </w:p>
          <w:p w14:paraId="5BF1778A" w14:textId="77777777" w:rsidR="00EC10E0" w:rsidRPr="0068316B" w:rsidRDefault="00EC10E0" w:rsidP="0068316B">
            <w:pPr>
              <w:pStyle w:val="tablea"/>
              <w:spacing w:before="60" w:beforeAutospacing="0" w:after="0" w:afterAutospacing="0" w:line="276" w:lineRule="auto"/>
              <w:ind w:left="284" w:hanging="284"/>
              <w:rPr>
                <w:rFonts w:ascii="Arial" w:hAnsi="Arial"/>
                <w:b w:val="0"/>
                <w:bCs w:val="0"/>
                <w:color w:val="000000" w:themeColor="text1"/>
                <w:sz w:val="22"/>
                <w:szCs w:val="22"/>
                <w:lang w:eastAsia="en-US"/>
              </w:rPr>
            </w:pPr>
            <w:r w:rsidRPr="0068316B">
              <w:rPr>
                <w:rFonts w:ascii="Arial" w:hAnsi="Arial"/>
                <w:b w:val="0"/>
                <w:bCs w:val="0"/>
                <w:color w:val="000000" w:themeColor="text1"/>
                <w:sz w:val="22"/>
                <w:szCs w:val="22"/>
                <w:lang w:eastAsia="en-US"/>
              </w:rPr>
              <w:t>(e) the attendance under this item is claimed by the same consultant physician who claimed item 132 or a locum tenens; and</w:t>
            </w:r>
          </w:p>
          <w:p w14:paraId="4A7F0C43" w14:textId="77777777" w:rsidR="006609A0" w:rsidRDefault="00EC10E0" w:rsidP="0068316B">
            <w:pPr>
              <w:pStyle w:val="tablea"/>
              <w:spacing w:before="60" w:beforeAutospacing="0" w:after="0" w:afterAutospacing="0" w:line="276" w:lineRule="auto"/>
              <w:ind w:left="284" w:hanging="284"/>
              <w:rPr>
                <w:rFonts w:ascii="Arial" w:hAnsi="Arial"/>
                <w:color w:val="000000" w:themeColor="text1"/>
                <w:sz w:val="22"/>
                <w:szCs w:val="22"/>
                <w:lang w:eastAsia="en-US"/>
              </w:rPr>
            </w:pPr>
            <w:r w:rsidRPr="0068316B">
              <w:rPr>
                <w:rFonts w:ascii="Arial" w:hAnsi="Arial"/>
                <w:b w:val="0"/>
                <w:bCs w:val="0"/>
                <w:color w:val="000000" w:themeColor="text1"/>
                <w:sz w:val="22"/>
                <w:szCs w:val="22"/>
                <w:lang w:eastAsia="en-US"/>
              </w:rPr>
              <w:lastRenderedPageBreak/>
              <w:t xml:space="preserve">(f) this item has not applied more than twice in any </w:t>
            </w:r>
            <w:proofErr w:type="gramStart"/>
            <w:r w:rsidRPr="0068316B">
              <w:rPr>
                <w:rFonts w:ascii="Arial" w:hAnsi="Arial"/>
                <w:b w:val="0"/>
                <w:bCs w:val="0"/>
                <w:color w:val="000000" w:themeColor="text1"/>
                <w:sz w:val="22"/>
                <w:szCs w:val="22"/>
                <w:lang w:eastAsia="en-US"/>
              </w:rPr>
              <w:t>12 month</w:t>
            </w:r>
            <w:proofErr w:type="gramEnd"/>
            <w:r w:rsidRPr="0068316B">
              <w:rPr>
                <w:rFonts w:ascii="Arial" w:hAnsi="Arial"/>
                <w:b w:val="0"/>
                <w:bCs w:val="0"/>
                <w:color w:val="000000" w:themeColor="text1"/>
                <w:sz w:val="22"/>
                <w:szCs w:val="22"/>
                <w:lang w:eastAsia="en-US"/>
              </w:rPr>
              <w:t xml:space="preserve"> period</w:t>
            </w:r>
          </w:p>
          <w:p w14:paraId="3BFB15C2" w14:textId="77777777" w:rsidR="006609A0" w:rsidRDefault="006609A0" w:rsidP="0068316B">
            <w:pPr>
              <w:pStyle w:val="tablea"/>
              <w:spacing w:before="60" w:beforeAutospacing="0" w:after="0" w:afterAutospacing="0" w:line="276" w:lineRule="auto"/>
              <w:ind w:left="284" w:hanging="284"/>
              <w:rPr>
                <w:rFonts w:ascii="Arial" w:hAnsi="Arial"/>
                <w:color w:val="000000" w:themeColor="text1"/>
                <w:sz w:val="22"/>
                <w:szCs w:val="22"/>
                <w:lang w:eastAsia="en-US"/>
              </w:rPr>
            </w:pPr>
          </w:p>
          <w:p w14:paraId="07E7F595" w14:textId="48C3E1D0" w:rsidR="00EC078C" w:rsidRDefault="00EC078C" w:rsidP="0068316B">
            <w:pPr>
              <w:pStyle w:val="tablea"/>
              <w:spacing w:before="60" w:beforeAutospacing="0" w:after="0" w:afterAutospacing="0" w:line="276" w:lineRule="auto"/>
              <w:ind w:left="284" w:hanging="284"/>
              <w:rPr>
                <w:rFonts w:ascii="Arial" w:hAnsi="Arial"/>
                <w:color w:val="000000" w:themeColor="text1"/>
                <w:sz w:val="22"/>
                <w:szCs w:val="22"/>
                <w:lang w:eastAsia="en-US"/>
              </w:rPr>
            </w:pPr>
            <w:r w:rsidRPr="00EC078C">
              <w:rPr>
                <w:rFonts w:ascii="Arial" w:hAnsi="Arial"/>
                <w:color w:val="000000" w:themeColor="text1"/>
                <w:sz w:val="22"/>
                <w:szCs w:val="22"/>
                <w:lang w:eastAsia="en-US"/>
              </w:rPr>
              <w:t>Fee:</w:t>
            </w:r>
            <w:r>
              <w:rPr>
                <w:rFonts w:ascii="Arial" w:hAnsi="Arial"/>
                <w:b w:val="0"/>
                <w:bCs w:val="0"/>
                <w:color w:val="000000" w:themeColor="text1"/>
                <w:sz w:val="22"/>
                <w:szCs w:val="22"/>
                <w:lang w:eastAsia="en-US"/>
              </w:rPr>
              <w:t xml:space="preserve"> $152.80 </w:t>
            </w:r>
            <w:r w:rsidRPr="00EC078C">
              <w:rPr>
                <w:rFonts w:ascii="Arial" w:hAnsi="Arial"/>
                <w:color w:val="000000" w:themeColor="text1"/>
                <w:sz w:val="22"/>
                <w:szCs w:val="22"/>
                <w:lang w:eastAsia="en-US"/>
              </w:rPr>
              <w:t>Benefit:</w:t>
            </w:r>
            <w:r>
              <w:rPr>
                <w:rFonts w:ascii="Arial" w:hAnsi="Arial"/>
                <w:b w:val="0"/>
                <w:bCs w:val="0"/>
                <w:color w:val="000000" w:themeColor="text1"/>
                <w:sz w:val="22"/>
                <w:szCs w:val="22"/>
                <w:lang w:eastAsia="en-US"/>
              </w:rPr>
              <w:t xml:space="preserve"> 75% = $114.60 85%=$129.90</w:t>
            </w:r>
          </w:p>
          <w:p w14:paraId="1F1FEDD8" w14:textId="32D3F59E" w:rsidR="00EC078C" w:rsidRPr="00EC078C" w:rsidRDefault="00EC078C" w:rsidP="0068316B">
            <w:pPr>
              <w:pStyle w:val="tablea"/>
              <w:spacing w:before="60" w:beforeAutospacing="0" w:after="0" w:afterAutospacing="0" w:line="276" w:lineRule="auto"/>
              <w:ind w:left="284" w:hanging="284"/>
              <w:rPr>
                <w:rFonts w:ascii="Arial" w:hAnsi="Arial" w:cs="Arial"/>
                <w:b w:val="0"/>
                <w:bCs w:val="0"/>
                <w:color w:val="000000" w:themeColor="text1"/>
                <w:sz w:val="22"/>
                <w:szCs w:val="22"/>
                <w:lang w:eastAsia="en-US"/>
              </w:rPr>
            </w:pPr>
            <w:r w:rsidRPr="00EC078C">
              <w:rPr>
                <w:rFonts w:ascii="Arial" w:hAnsi="Arial"/>
                <w:b w:val="0"/>
                <w:bCs w:val="0"/>
                <w:color w:val="000000" w:themeColor="text1"/>
                <w:sz w:val="22"/>
                <w:szCs w:val="22"/>
                <w:lang w:eastAsia="en-US"/>
              </w:rPr>
              <w:t>(See para</w:t>
            </w:r>
            <w:r>
              <w:rPr>
                <w:rFonts w:ascii="Arial" w:hAnsi="Arial"/>
                <w:color w:val="000000" w:themeColor="text1"/>
                <w:sz w:val="22"/>
                <w:szCs w:val="22"/>
                <w:lang w:eastAsia="en-US"/>
              </w:rPr>
              <w:t xml:space="preserve"> </w:t>
            </w:r>
            <w:hyperlink r:id="rId22" w:history="1">
              <w:r w:rsidRPr="00EC078C">
                <w:rPr>
                  <w:rStyle w:val="Hyperlink"/>
                  <w:szCs w:val="22"/>
                </w:rPr>
                <w:t>AN.0.7</w:t>
              </w:r>
            </w:hyperlink>
            <w:r w:rsidRPr="00EC078C">
              <w:rPr>
                <w:szCs w:val="22"/>
              </w:rPr>
              <w:t>, </w:t>
            </w:r>
            <w:hyperlink r:id="rId23" w:history="1">
              <w:r w:rsidRPr="00EC078C">
                <w:rPr>
                  <w:rStyle w:val="Hyperlink"/>
                  <w:szCs w:val="22"/>
                </w:rPr>
                <w:t>AN.0.23</w:t>
              </w:r>
            </w:hyperlink>
            <w:r w:rsidRPr="00EC078C">
              <w:rPr>
                <w:szCs w:val="22"/>
              </w:rPr>
              <w:t>, </w:t>
            </w:r>
            <w:hyperlink r:id="rId24" w:history="1">
              <w:r w:rsidRPr="00EC078C">
                <w:rPr>
                  <w:rStyle w:val="Hyperlink"/>
                  <w:szCs w:val="22"/>
                </w:rPr>
                <w:t>AN.40.1</w:t>
              </w:r>
            </w:hyperlink>
            <w:r w:rsidRPr="00EC078C">
              <w:rPr>
                <w:rFonts w:ascii="Arial" w:hAnsi="Arial" w:cs="Arial"/>
                <w:b w:val="0"/>
                <w:bCs w:val="0"/>
                <w:sz w:val="22"/>
                <w:szCs w:val="22"/>
              </w:rPr>
              <w:t xml:space="preserve"> of explanatory notes to this category)</w:t>
            </w:r>
          </w:p>
          <w:p w14:paraId="5FF5D4E9" w14:textId="01CEA829" w:rsidR="00D740A2" w:rsidRPr="00727D31" w:rsidRDefault="00D740A2" w:rsidP="00D740A2">
            <w:pPr>
              <w:pStyle w:val="tablea"/>
              <w:spacing w:before="60" w:beforeAutospacing="0" w:after="0" w:afterAutospacing="0" w:line="276" w:lineRule="auto"/>
              <w:ind w:left="284" w:hanging="284"/>
              <w:rPr>
                <w:rFonts w:ascii="Arial" w:hAnsi="Arial"/>
                <w:color w:val="000000" w:themeColor="text1"/>
                <w:sz w:val="22"/>
                <w:szCs w:val="22"/>
                <w:lang w:eastAsia="en-US"/>
              </w:rPr>
            </w:pPr>
            <w:hyperlink r:id="rId25" w:history="1">
              <w:r w:rsidRPr="00727D31">
                <w:rPr>
                  <w:rStyle w:val="Hyperlink"/>
                  <w:szCs w:val="22"/>
                </w:rPr>
                <w:t>Extended Medicare Safety Net Cap:</w:t>
              </w:r>
            </w:hyperlink>
            <w:r w:rsidRPr="00727D31">
              <w:rPr>
                <w:szCs w:val="22"/>
              </w:rPr>
              <w:t> </w:t>
            </w:r>
            <w:r w:rsidRPr="00EC078C">
              <w:rPr>
                <w:b w:val="0"/>
                <w:bCs w:val="0"/>
                <w:szCs w:val="22"/>
              </w:rPr>
              <w:t>$458.40</w:t>
            </w:r>
          </w:p>
          <w:p w14:paraId="419D69E8" w14:textId="1C9227BF" w:rsidR="00CD6A6C" w:rsidRPr="0068316B" w:rsidRDefault="00CD6A6C" w:rsidP="003362D9">
            <w:pPr>
              <w:pStyle w:val="tablea"/>
              <w:spacing w:before="60" w:beforeAutospacing="0" w:after="0" w:afterAutospacing="0" w:line="276" w:lineRule="auto"/>
              <w:ind w:left="284" w:hanging="284"/>
              <w:rPr>
                <w:rFonts w:ascii="Arial" w:hAnsi="Arial"/>
                <w:b w:val="0"/>
                <w:bCs w:val="0"/>
                <w:color w:val="000000" w:themeColor="text1"/>
                <w:sz w:val="22"/>
                <w:szCs w:val="22"/>
                <w:lang w:eastAsia="en-US"/>
              </w:rPr>
            </w:pPr>
          </w:p>
        </w:tc>
      </w:tr>
      <w:bookmarkEnd w:id="4"/>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6"/>
      <w:headerReference w:type="first" r:id="rId27"/>
      <w:footerReference w:type="first" r:id="rId2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8B9C5" w14:textId="77777777" w:rsidR="004B7352" w:rsidRDefault="004B7352" w:rsidP="006B56BB">
      <w:r>
        <w:separator/>
      </w:r>
    </w:p>
    <w:p w14:paraId="57BB9F58" w14:textId="77777777" w:rsidR="004B7352" w:rsidRDefault="004B7352"/>
  </w:endnote>
  <w:endnote w:type="continuationSeparator" w:id="0">
    <w:p w14:paraId="5A6D3E91" w14:textId="77777777" w:rsidR="004B7352" w:rsidRDefault="004B7352" w:rsidP="006B56BB">
      <w:r>
        <w:continuationSeparator/>
      </w:r>
    </w:p>
    <w:p w14:paraId="2C061F3D" w14:textId="77777777" w:rsidR="004B7352" w:rsidRDefault="004B7352"/>
  </w:endnote>
  <w:endnote w:type="continuationNotice" w:id="1">
    <w:p w14:paraId="6802E1A0" w14:textId="77777777" w:rsidR="004B7352" w:rsidRDefault="004B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7525EF34" w:rsidR="00F51321" w:rsidRDefault="0016133D" w:rsidP="00F51321">
    <w:pPr>
      <w:pStyle w:val="Footer"/>
      <w:tabs>
        <w:tab w:val="clear" w:pos="9026"/>
        <w:tab w:val="right" w:pos="10466"/>
      </w:tabs>
    </w:pPr>
    <w:r>
      <w:rPr>
        <w:b/>
      </w:rPr>
      <w:t>Chronic disease management by consultant physicians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1DD0E4E" w:rsidR="00F51321" w:rsidRDefault="009F5046" w:rsidP="00F51321">
    <w:pPr>
      <w:pStyle w:val="Footer"/>
      <w:jc w:val="left"/>
      <w:rPr>
        <w:rStyle w:val="Hyperlink"/>
        <w:szCs w:val="18"/>
      </w:rPr>
    </w:pPr>
    <w:hyperlink r:id="rId1" w:history="1">
      <w:r w:rsidRPr="009F5046">
        <w:rPr>
          <w:rStyle w:val="Hyperlink"/>
          <w:szCs w:val="18"/>
        </w:rPr>
        <w:t>MBS Online</w:t>
      </w:r>
    </w:hyperlink>
  </w:p>
  <w:p w14:paraId="0D093570" w14:textId="1F9553E5" w:rsidR="00F51321" w:rsidRPr="009B32BA" w:rsidRDefault="00F51321" w:rsidP="00F51321">
    <w:pPr>
      <w:pStyle w:val="Footer"/>
      <w:jc w:val="left"/>
      <w:rPr>
        <w:szCs w:val="18"/>
      </w:rPr>
    </w:pPr>
    <w:r w:rsidRPr="00870B05">
      <w:t>Last updated</w:t>
    </w:r>
    <w:r>
      <w:t xml:space="preserve"> – </w:t>
    </w:r>
    <w:r w:rsidR="00AF6C44">
      <w:t>2</w:t>
    </w:r>
    <w:r w:rsidR="00EC078C">
      <w:t>6</w:t>
    </w:r>
    <w:r w:rsidR="00E32076">
      <w:t xml:space="preserve"> </w:t>
    </w:r>
    <w:r w:rsidR="00AF6C44">
      <w:t>February</w:t>
    </w:r>
    <w:r w:rsidR="003362D9">
      <w:t xml:space="preserve"> 2025</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2129CFC6" w:rsidR="00064168" w:rsidRDefault="0016133D" w:rsidP="00064168">
    <w:pPr>
      <w:pStyle w:val="Footer"/>
      <w:tabs>
        <w:tab w:val="clear" w:pos="9026"/>
        <w:tab w:val="right" w:pos="10466"/>
      </w:tabs>
    </w:pPr>
    <w:r>
      <w:rPr>
        <w:b/>
      </w:rPr>
      <w:t>Chronic disease management by consultant physicians- Fa</w:t>
    </w:r>
    <w:r w:rsidR="00064168">
      <w:rPr>
        <w:b/>
      </w:rPr>
      <w:t>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57B3B071" w:rsidR="00064168" w:rsidRDefault="009F5046" w:rsidP="00064168">
    <w:pPr>
      <w:pStyle w:val="Footer"/>
      <w:jc w:val="left"/>
      <w:rPr>
        <w:rStyle w:val="Hyperlink"/>
        <w:szCs w:val="18"/>
      </w:rPr>
    </w:pPr>
    <w:hyperlink r:id="rId1" w:history="1">
      <w:r w:rsidRPr="009F5046">
        <w:rPr>
          <w:rStyle w:val="Hyperlink"/>
          <w:szCs w:val="18"/>
        </w:rPr>
        <w:t>MBS Online</w:t>
      </w:r>
    </w:hyperlink>
  </w:p>
  <w:p w14:paraId="03585E81" w14:textId="5125D60E" w:rsidR="00064168" w:rsidRPr="009B32BA" w:rsidRDefault="00064168" w:rsidP="00064168">
    <w:pPr>
      <w:pStyle w:val="Footer"/>
      <w:jc w:val="left"/>
      <w:rPr>
        <w:szCs w:val="18"/>
      </w:rPr>
    </w:pPr>
    <w:r w:rsidRPr="00870B05">
      <w:t>Last updated</w:t>
    </w:r>
    <w:r>
      <w:t xml:space="preserve"> –</w:t>
    </w:r>
    <w:r w:rsidR="00E32076">
      <w:t xml:space="preserve"> </w:t>
    </w:r>
    <w:r w:rsidR="00AF6C44">
      <w:t>2</w:t>
    </w:r>
    <w:r w:rsidR="00EC078C">
      <w:t>6</w:t>
    </w:r>
    <w:r w:rsidR="003362D9">
      <w:t xml:space="preserve"> </w:t>
    </w:r>
    <w:r w:rsidR="00AF6C44">
      <w:t>February</w:t>
    </w:r>
    <w:r w:rsidR="003362D9">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9FBAE" w14:textId="77777777" w:rsidR="004B7352" w:rsidRDefault="004B7352" w:rsidP="006B56BB">
      <w:r>
        <w:separator/>
      </w:r>
    </w:p>
    <w:p w14:paraId="29492ABD" w14:textId="77777777" w:rsidR="004B7352" w:rsidRDefault="004B7352"/>
  </w:footnote>
  <w:footnote w:type="continuationSeparator" w:id="0">
    <w:p w14:paraId="568D3EA6" w14:textId="77777777" w:rsidR="004B7352" w:rsidRDefault="004B7352" w:rsidP="006B56BB">
      <w:r>
        <w:continuationSeparator/>
      </w:r>
    </w:p>
    <w:p w14:paraId="03A957AD" w14:textId="77777777" w:rsidR="004B7352" w:rsidRDefault="004B7352"/>
  </w:footnote>
  <w:footnote w:type="continuationNotice" w:id="1">
    <w:p w14:paraId="010C1C99" w14:textId="77777777" w:rsidR="004B7352" w:rsidRDefault="004B7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8E15C6"/>
    <w:multiLevelType w:val="hybridMultilevel"/>
    <w:tmpl w:val="031E0D6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5B9472D"/>
    <w:multiLevelType w:val="multilevel"/>
    <w:tmpl w:val="85BC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DA0B78"/>
    <w:multiLevelType w:val="multilevel"/>
    <w:tmpl w:val="4E70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8358C7"/>
    <w:multiLevelType w:val="multilevel"/>
    <w:tmpl w:val="3D12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1C794E"/>
    <w:multiLevelType w:val="multilevel"/>
    <w:tmpl w:val="E57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886DB4"/>
    <w:multiLevelType w:val="multilevel"/>
    <w:tmpl w:val="CA0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E566C72"/>
    <w:multiLevelType w:val="multilevel"/>
    <w:tmpl w:val="5EB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4784398">
    <w:abstractNumId w:val="7"/>
  </w:num>
  <w:num w:numId="2" w16cid:durableId="320935821">
    <w:abstractNumId w:val="20"/>
  </w:num>
  <w:num w:numId="3" w16cid:durableId="1161390217">
    <w:abstractNumId w:val="24"/>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18"/>
  </w:num>
  <w:num w:numId="8" w16cid:durableId="565603559">
    <w:abstractNumId w:val="23"/>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7"/>
  </w:num>
  <w:num w:numId="17" w16cid:durableId="2113471318">
    <w:abstractNumId w:val="12"/>
  </w:num>
  <w:num w:numId="18" w16cid:durableId="828592903">
    <w:abstractNumId w:val="14"/>
  </w:num>
  <w:num w:numId="19" w16cid:durableId="1273391997">
    <w:abstractNumId w:val="16"/>
  </w:num>
  <w:num w:numId="20" w16cid:durableId="2041469188">
    <w:abstractNumId w:val="12"/>
  </w:num>
  <w:num w:numId="21" w16cid:durableId="120997448">
    <w:abstractNumId w:val="16"/>
  </w:num>
  <w:num w:numId="22" w16cid:durableId="1088427743">
    <w:abstractNumId w:val="27"/>
  </w:num>
  <w:num w:numId="23" w16cid:durableId="111368400">
    <w:abstractNumId w:val="20"/>
  </w:num>
  <w:num w:numId="24" w16cid:durableId="815339056">
    <w:abstractNumId w:val="24"/>
  </w:num>
  <w:num w:numId="25" w16cid:durableId="743180995">
    <w:abstractNumId w:val="8"/>
  </w:num>
  <w:num w:numId="26" w16cid:durableId="320358050">
    <w:abstractNumId w:val="19"/>
  </w:num>
  <w:num w:numId="27" w16cid:durableId="508569404">
    <w:abstractNumId w:val="13"/>
  </w:num>
  <w:num w:numId="28" w16cid:durableId="1416364898">
    <w:abstractNumId w:val="15"/>
  </w:num>
  <w:num w:numId="29" w16cid:durableId="100344043">
    <w:abstractNumId w:val="11"/>
  </w:num>
  <w:num w:numId="30" w16cid:durableId="1575821124">
    <w:abstractNumId w:val="13"/>
  </w:num>
  <w:num w:numId="31" w16cid:durableId="2082172964">
    <w:abstractNumId w:val="26"/>
  </w:num>
  <w:num w:numId="32" w16cid:durableId="878979490">
    <w:abstractNumId w:val="25"/>
  </w:num>
  <w:num w:numId="33" w16cid:durableId="1021975863">
    <w:abstractNumId w:val="22"/>
  </w:num>
  <w:num w:numId="34" w16cid:durableId="157774143">
    <w:abstractNumId w:val="28"/>
  </w:num>
  <w:num w:numId="35" w16cid:durableId="600065290">
    <w:abstractNumId w:val="21"/>
  </w:num>
  <w:num w:numId="36" w16cid:durableId="66273424">
    <w:abstractNumId w:val="17"/>
  </w:num>
  <w:num w:numId="37" w16cid:durableId="1858496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020B"/>
    <w:rsid w:val="000307E1"/>
    <w:rsid w:val="00033321"/>
    <w:rsid w:val="000338E5"/>
    <w:rsid w:val="00033ECC"/>
    <w:rsid w:val="0003422F"/>
    <w:rsid w:val="0004123C"/>
    <w:rsid w:val="00046FF0"/>
    <w:rsid w:val="000476ED"/>
    <w:rsid w:val="00050176"/>
    <w:rsid w:val="00050342"/>
    <w:rsid w:val="00054C8E"/>
    <w:rsid w:val="00055B2E"/>
    <w:rsid w:val="00064168"/>
    <w:rsid w:val="00067219"/>
    <w:rsid w:val="000673EF"/>
    <w:rsid w:val="00067456"/>
    <w:rsid w:val="00071506"/>
    <w:rsid w:val="0007154F"/>
    <w:rsid w:val="000751C3"/>
    <w:rsid w:val="0007627B"/>
    <w:rsid w:val="00080BAC"/>
    <w:rsid w:val="00081AB1"/>
    <w:rsid w:val="00090316"/>
    <w:rsid w:val="00090985"/>
    <w:rsid w:val="00093981"/>
    <w:rsid w:val="000A30FE"/>
    <w:rsid w:val="000A395F"/>
    <w:rsid w:val="000A6022"/>
    <w:rsid w:val="000B067A"/>
    <w:rsid w:val="000B1540"/>
    <w:rsid w:val="000B1E53"/>
    <w:rsid w:val="000B33FD"/>
    <w:rsid w:val="000B4ABA"/>
    <w:rsid w:val="000C4B16"/>
    <w:rsid w:val="000C50C3"/>
    <w:rsid w:val="000C5E14"/>
    <w:rsid w:val="000C6EDB"/>
    <w:rsid w:val="000D21F6"/>
    <w:rsid w:val="000D2381"/>
    <w:rsid w:val="000D4500"/>
    <w:rsid w:val="000D7AEA"/>
    <w:rsid w:val="000E2C66"/>
    <w:rsid w:val="000F123C"/>
    <w:rsid w:val="000F2FED"/>
    <w:rsid w:val="0010616D"/>
    <w:rsid w:val="00110478"/>
    <w:rsid w:val="00111901"/>
    <w:rsid w:val="0011483D"/>
    <w:rsid w:val="0011711B"/>
    <w:rsid w:val="00117F8A"/>
    <w:rsid w:val="00121B9B"/>
    <w:rsid w:val="00122ADC"/>
    <w:rsid w:val="001245EF"/>
    <w:rsid w:val="00130F59"/>
    <w:rsid w:val="00133EC0"/>
    <w:rsid w:val="00141CE5"/>
    <w:rsid w:val="00144908"/>
    <w:rsid w:val="00156D96"/>
    <w:rsid w:val="001571C7"/>
    <w:rsid w:val="00161094"/>
    <w:rsid w:val="0016133D"/>
    <w:rsid w:val="00163940"/>
    <w:rsid w:val="0017665C"/>
    <w:rsid w:val="00177AD2"/>
    <w:rsid w:val="001815A8"/>
    <w:rsid w:val="001840FA"/>
    <w:rsid w:val="00185026"/>
    <w:rsid w:val="00190079"/>
    <w:rsid w:val="0019622E"/>
    <w:rsid w:val="001966A7"/>
    <w:rsid w:val="0019761F"/>
    <w:rsid w:val="001A4627"/>
    <w:rsid w:val="001A4979"/>
    <w:rsid w:val="001A4F08"/>
    <w:rsid w:val="001B15D3"/>
    <w:rsid w:val="001B3443"/>
    <w:rsid w:val="001C0326"/>
    <w:rsid w:val="001C192F"/>
    <w:rsid w:val="001C3C42"/>
    <w:rsid w:val="001D4767"/>
    <w:rsid w:val="001D7869"/>
    <w:rsid w:val="001F38C3"/>
    <w:rsid w:val="002026CD"/>
    <w:rsid w:val="002033FC"/>
    <w:rsid w:val="00203979"/>
    <w:rsid w:val="002044BB"/>
    <w:rsid w:val="00210B09"/>
    <w:rsid w:val="00210C9E"/>
    <w:rsid w:val="00211840"/>
    <w:rsid w:val="00216EFC"/>
    <w:rsid w:val="00220E5F"/>
    <w:rsid w:val="002212B5"/>
    <w:rsid w:val="002237C9"/>
    <w:rsid w:val="00226668"/>
    <w:rsid w:val="00233809"/>
    <w:rsid w:val="00240046"/>
    <w:rsid w:val="0024797F"/>
    <w:rsid w:val="0025119E"/>
    <w:rsid w:val="00251269"/>
    <w:rsid w:val="00251E2E"/>
    <w:rsid w:val="002535C0"/>
    <w:rsid w:val="002579FE"/>
    <w:rsid w:val="00260552"/>
    <w:rsid w:val="0026311C"/>
    <w:rsid w:val="0026668C"/>
    <w:rsid w:val="00266AC1"/>
    <w:rsid w:val="0027178C"/>
    <w:rsid w:val="00271954"/>
    <w:rsid w:val="002719FA"/>
    <w:rsid w:val="00272668"/>
    <w:rsid w:val="0027330B"/>
    <w:rsid w:val="00276CB4"/>
    <w:rsid w:val="002803AD"/>
    <w:rsid w:val="00282052"/>
    <w:rsid w:val="002831A3"/>
    <w:rsid w:val="0028519E"/>
    <w:rsid w:val="002856A5"/>
    <w:rsid w:val="00286376"/>
    <w:rsid w:val="002872ED"/>
    <w:rsid w:val="002905C2"/>
    <w:rsid w:val="00295AF2"/>
    <w:rsid w:val="00295C91"/>
    <w:rsid w:val="00297151"/>
    <w:rsid w:val="002B20E6"/>
    <w:rsid w:val="002B42A3"/>
    <w:rsid w:val="002C0CDD"/>
    <w:rsid w:val="002C355B"/>
    <w:rsid w:val="002C38C4"/>
    <w:rsid w:val="002C46AA"/>
    <w:rsid w:val="002D2101"/>
    <w:rsid w:val="002D65A2"/>
    <w:rsid w:val="002E1A1D"/>
    <w:rsid w:val="002E4081"/>
    <w:rsid w:val="002E5B78"/>
    <w:rsid w:val="002F3AE3"/>
    <w:rsid w:val="00303DAB"/>
    <w:rsid w:val="0030464B"/>
    <w:rsid w:val="00305D4A"/>
    <w:rsid w:val="0030786C"/>
    <w:rsid w:val="00317892"/>
    <w:rsid w:val="003202FB"/>
    <w:rsid w:val="003233DE"/>
    <w:rsid w:val="003238FA"/>
    <w:rsid w:val="0032466B"/>
    <w:rsid w:val="003313CD"/>
    <w:rsid w:val="003330EB"/>
    <w:rsid w:val="00333C73"/>
    <w:rsid w:val="003362D9"/>
    <w:rsid w:val="003415FD"/>
    <w:rsid w:val="003429F0"/>
    <w:rsid w:val="00345778"/>
    <w:rsid w:val="00345A82"/>
    <w:rsid w:val="00350506"/>
    <w:rsid w:val="0035097A"/>
    <w:rsid w:val="0035099F"/>
    <w:rsid w:val="00352F1A"/>
    <w:rsid w:val="003540A4"/>
    <w:rsid w:val="00357BCC"/>
    <w:rsid w:val="003604DA"/>
    <w:rsid w:val="00360E4E"/>
    <w:rsid w:val="003646D7"/>
    <w:rsid w:val="00370AAA"/>
    <w:rsid w:val="003749C5"/>
    <w:rsid w:val="00375F77"/>
    <w:rsid w:val="00381BBE"/>
    <w:rsid w:val="00382903"/>
    <w:rsid w:val="003846FF"/>
    <w:rsid w:val="003857D4"/>
    <w:rsid w:val="00385AD4"/>
    <w:rsid w:val="00385C01"/>
    <w:rsid w:val="00385C1D"/>
    <w:rsid w:val="00387924"/>
    <w:rsid w:val="0039384D"/>
    <w:rsid w:val="00393D66"/>
    <w:rsid w:val="00395C23"/>
    <w:rsid w:val="003A0C28"/>
    <w:rsid w:val="003A2E4F"/>
    <w:rsid w:val="003A4438"/>
    <w:rsid w:val="003A5013"/>
    <w:rsid w:val="003A5078"/>
    <w:rsid w:val="003A62DD"/>
    <w:rsid w:val="003A6983"/>
    <w:rsid w:val="003A775A"/>
    <w:rsid w:val="003B213A"/>
    <w:rsid w:val="003B43AD"/>
    <w:rsid w:val="003C0481"/>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27EB3"/>
    <w:rsid w:val="00432378"/>
    <w:rsid w:val="004408EF"/>
    <w:rsid w:val="00440D65"/>
    <w:rsid w:val="004423B6"/>
    <w:rsid w:val="00443025"/>
    <w:rsid w:val="004435E6"/>
    <w:rsid w:val="00447E31"/>
    <w:rsid w:val="00452EFE"/>
    <w:rsid w:val="00453923"/>
    <w:rsid w:val="00454B9B"/>
    <w:rsid w:val="00454F33"/>
    <w:rsid w:val="00457858"/>
    <w:rsid w:val="00460B0B"/>
    <w:rsid w:val="00461023"/>
    <w:rsid w:val="0046121C"/>
    <w:rsid w:val="00462FAC"/>
    <w:rsid w:val="00464631"/>
    <w:rsid w:val="00464B79"/>
    <w:rsid w:val="00466256"/>
    <w:rsid w:val="00467BBF"/>
    <w:rsid w:val="00470C55"/>
    <w:rsid w:val="00480294"/>
    <w:rsid w:val="004818C0"/>
    <w:rsid w:val="0048593C"/>
    <w:rsid w:val="004867E2"/>
    <w:rsid w:val="004929A9"/>
    <w:rsid w:val="004A78D9"/>
    <w:rsid w:val="004B7352"/>
    <w:rsid w:val="004C1BCD"/>
    <w:rsid w:val="004C3367"/>
    <w:rsid w:val="004C5534"/>
    <w:rsid w:val="004C6BCF"/>
    <w:rsid w:val="004D58BF"/>
    <w:rsid w:val="004E1E45"/>
    <w:rsid w:val="004E4335"/>
    <w:rsid w:val="004E5226"/>
    <w:rsid w:val="004F13EE"/>
    <w:rsid w:val="004F2022"/>
    <w:rsid w:val="004F7C05"/>
    <w:rsid w:val="00501C94"/>
    <w:rsid w:val="00506432"/>
    <w:rsid w:val="00506E82"/>
    <w:rsid w:val="0052051D"/>
    <w:rsid w:val="005263A4"/>
    <w:rsid w:val="005364C2"/>
    <w:rsid w:val="00545EE6"/>
    <w:rsid w:val="00550F5B"/>
    <w:rsid w:val="005550E7"/>
    <w:rsid w:val="005564FB"/>
    <w:rsid w:val="005572C7"/>
    <w:rsid w:val="005650ED"/>
    <w:rsid w:val="00575754"/>
    <w:rsid w:val="00576F74"/>
    <w:rsid w:val="00581FBA"/>
    <w:rsid w:val="005858A4"/>
    <w:rsid w:val="00591E20"/>
    <w:rsid w:val="005920E7"/>
    <w:rsid w:val="00595408"/>
    <w:rsid w:val="00595E84"/>
    <w:rsid w:val="005A0C59"/>
    <w:rsid w:val="005A48EB"/>
    <w:rsid w:val="005A6CFB"/>
    <w:rsid w:val="005C5283"/>
    <w:rsid w:val="005C5AEB"/>
    <w:rsid w:val="005D5F4E"/>
    <w:rsid w:val="005E0A3F"/>
    <w:rsid w:val="005E1AF9"/>
    <w:rsid w:val="005E2D76"/>
    <w:rsid w:val="005E4D48"/>
    <w:rsid w:val="005E633C"/>
    <w:rsid w:val="005E6883"/>
    <w:rsid w:val="005E772F"/>
    <w:rsid w:val="005F040A"/>
    <w:rsid w:val="005F4ECA"/>
    <w:rsid w:val="006041BE"/>
    <w:rsid w:val="006043C7"/>
    <w:rsid w:val="00607C2E"/>
    <w:rsid w:val="00624B52"/>
    <w:rsid w:val="00630794"/>
    <w:rsid w:val="00631DF4"/>
    <w:rsid w:val="00634175"/>
    <w:rsid w:val="0063574E"/>
    <w:rsid w:val="00637DF2"/>
    <w:rsid w:val="006408AC"/>
    <w:rsid w:val="00642F20"/>
    <w:rsid w:val="00643078"/>
    <w:rsid w:val="00643930"/>
    <w:rsid w:val="006511B6"/>
    <w:rsid w:val="00657524"/>
    <w:rsid w:val="00657FF8"/>
    <w:rsid w:val="006609A0"/>
    <w:rsid w:val="00661AD8"/>
    <w:rsid w:val="00670D99"/>
    <w:rsid w:val="00670E2B"/>
    <w:rsid w:val="00672DDD"/>
    <w:rsid w:val="006734BB"/>
    <w:rsid w:val="00675D3C"/>
    <w:rsid w:val="0067697A"/>
    <w:rsid w:val="00680210"/>
    <w:rsid w:val="006821EB"/>
    <w:rsid w:val="0068316B"/>
    <w:rsid w:val="0068712A"/>
    <w:rsid w:val="006B0988"/>
    <w:rsid w:val="006B2286"/>
    <w:rsid w:val="006B56BB"/>
    <w:rsid w:val="006C085B"/>
    <w:rsid w:val="006C12E9"/>
    <w:rsid w:val="006C6553"/>
    <w:rsid w:val="006C77A8"/>
    <w:rsid w:val="006D4098"/>
    <w:rsid w:val="006D67F4"/>
    <w:rsid w:val="006D7681"/>
    <w:rsid w:val="006D7B2E"/>
    <w:rsid w:val="006E02EA"/>
    <w:rsid w:val="006E0968"/>
    <w:rsid w:val="006E19FE"/>
    <w:rsid w:val="006E2AF6"/>
    <w:rsid w:val="006E62E2"/>
    <w:rsid w:val="006F5073"/>
    <w:rsid w:val="006F6D32"/>
    <w:rsid w:val="00701275"/>
    <w:rsid w:val="00705CF5"/>
    <w:rsid w:val="00707F56"/>
    <w:rsid w:val="0071146D"/>
    <w:rsid w:val="00713558"/>
    <w:rsid w:val="00720D08"/>
    <w:rsid w:val="007236E6"/>
    <w:rsid w:val="007263B9"/>
    <w:rsid w:val="00727D31"/>
    <w:rsid w:val="007334F8"/>
    <w:rsid w:val="007339CD"/>
    <w:rsid w:val="00733BE9"/>
    <w:rsid w:val="007359D8"/>
    <w:rsid w:val="007362D4"/>
    <w:rsid w:val="0073678E"/>
    <w:rsid w:val="00757BFD"/>
    <w:rsid w:val="0076672A"/>
    <w:rsid w:val="00775E45"/>
    <w:rsid w:val="00776E74"/>
    <w:rsid w:val="00777375"/>
    <w:rsid w:val="00785169"/>
    <w:rsid w:val="00792FDA"/>
    <w:rsid w:val="007940A0"/>
    <w:rsid w:val="007954AB"/>
    <w:rsid w:val="007A14C5"/>
    <w:rsid w:val="007A4A10"/>
    <w:rsid w:val="007B1750"/>
    <w:rsid w:val="007B1760"/>
    <w:rsid w:val="007C1FDC"/>
    <w:rsid w:val="007C26F3"/>
    <w:rsid w:val="007C31DD"/>
    <w:rsid w:val="007C343D"/>
    <w:rsid w:val="007C6D9C"/>
    <w:rsid w:val="007C7DDB"/>
    <w:rsid w:val="007D2CC7"/>
    <w:rsid w:val="007D553F"/>
    <w:rsid w:val="007D673D"/>
    <w:rsid w:val="007E0068"/>
    <w:rsid w:val="007E01BE"/>
    <w:rsid w:val="007E0FB8"/>
    <w:rsid w:val="007E4D09"/>
    <w:rsid w:val="007F2220"/>
    <w:rsid w:val="007F2E8B"/>
    <w:rsid w:val="007F4B3E"/>
    <w:rsid w:val="00800A01"/>
    <w:rsid w:val="00805E8B"/>
    <w:rsid w:val="008127AF"/>
    <w:rsid w:val="00812B46"/>
    <w:rsid w:val="00813E93"/>
    <w:rsid w:val="00815700"/>
    <w:rsid w:val="0082246B"/>
    <w:rsid w:val="00822C90"/>
    <w:rsid w:val="008264EB"/>
    <w:rsid w:val="00826B8F"/>
    <w:rsid w:val="00830F31"/>
    <w:rsid w:val="008315DF"/>
    <w:rsid w:val="00831E8A"/>
    <w:rsid w:val="00832844"/>
    <w:rsid w:val="00835C76"/>
    <w:rsid w:val="008376E2"/>
    <w:rsid w:val="00843049"/>
    <w:rsid w:val="008437CA"/>
    <w:rsid w:val="0085209B"/>
    <w:rsid w:val="00855679"/>
    <w:rsid w:val="00856B66"/>
    <w:rsid w:val="008601AC"/>
    <w:rsid w:val="00861A5F"/>
    <w:rsid w:val="008644AD"/>
    <w:rsid w:val="00864AF9"/>
    <w:rsid w:val="00865735"/>
    <w:rsid w:val="00865DDB"/>
    <w:rsid w:val="00867538"/>
    <w:rsid w:val="00873D90"/>
    <w:rsid w:val="00873E58"/>
    <w:rsid w:val="00873FC8"/>
    <w:rsid w:val="00875816"/>
    <w:rsid w:val="00884C63"/>
    <w:rsid w:val="00885908"/>
    <w:rsid w:val="008864B7"/>
    <w:rsid w:val="0089661B"/>
    <w:rsid w:val="0089677E"/>
    <w:rsid w:val="008A688D"/>
    <w:rsid w:val="008A7438"/>
    <w:rsid w:val="008B1334"/>
    <w:rsid w:val="008B25C7"/>
    <w:rsid w:val="008C0278"/>
    <w:rsid w:val="008C24E9"/>
    <w:rsid w:val="008D0533"/>
    <w:rsid w:val="008D42CB"/>
    <w:rsid w:val="008D48C9"/>
    <w:rsid w:val="008D6210"/>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226A"/>
    <w:rsid w:val="00933804"/>
    <w:rsid w:val="009344AE"/>
    <w:rsid w:val="009344DE"/>
    <w:rsid w:val="009351EB"/>
    <w:rsid w:val="00935BE2"/>
    <w:rsid w:val="00945E7F"/>
    <w:rsid w:val="009518C7"/>
    <w:rsid w:val="009557C1"/>
    <w:rsid w:val="00960D6E"/>
    <w:rsid w:val="00973994"/>
    <w:rsid w:val="00974B59"/>
    <w:rsid w:val="0098166B"/>
    <w:rsid w:val="0098216C"/>
    <w:rsid w:val="0098340B"/>
    <w:rsid w:val="00986830"/>
    <w:rsid w:val="009924C3"/>
    <w:rsid w:val="00993102"/>
    <w:rsid w:val="00993C70"/>
    <w:rsid w:val="009957FD"/>
    <w:rsid w:val="009A0ADD"/>
    <w:rsid w:val="009B1570"/>
    <w:rsid w:val="009C5EC9"/>
    <w:rsid w:val="009C6F10"/>
    <w:rsid w:val="009D148F"/>
    <w:rsid w:val="009D17F5"/>
    <w:rsid w:val="009D3D70"/>
    <w:rsid w:val="009D4F7B"/>
    <w:rsid w:val="009D685D"/>
    <w:rsid w:val="009E68A1"/>
    <w:rsid w:val="009E6F7E"/>
    <w:rsid w:val="009E7A57"/>
    <w:rsid w:val="009F4803"/>
    <w:rsid w:val="009F4F6A"/>
    <w:rsid w:val="009F5046"/>
    <w:rsid w:val="009F5FFA"/>
    <w:rsid w:val="00A130BD"/>
    <w:rsid w:val="00A13EB5"/>
    <w:rsid w:val="00A16E36"/>
    <w:rsid w:val="00A24961"/>
    <w:rsid w:val="00A24B10"/>
    <w:rsid w:val="00A272D8"/>
    <w:rsid w:val="00A277EF"/>
    <w:rsid w:val="00A30E9B"/>
    <w:rsid w:val="00A344C3"/>
    <w:rsid w:val="00A4512D"/>
    <w:rsid w:val="00A47CF7"/>
    <w:rsid w:val="00A50244"/>
    <w:rsid w:val="00A627D7"/>
    <w:rsid w:val="00A656C7"/>
    <w:rsid w:val="00A701DD"/>
    <w:rsid w:val="00A705AF"/>
    <w:rsid w:val="00A719F6"/>
    <w:rsid w:val="00A72454"/>
    <w:rsid w:val="00A77696"/>
    <w:rsid w:val="00A80557"/>
    <w:rsid w:val="00A81D33"/>
    <w:rsid w:val="00A8341C"/>
    <w:rsid w:val="00A930AE"/>
    <w:rsid w:val="00A96207"/>
    <w:rsid w:val="00AA04FD"/>
    <w:rsid w:val="00AA1A95"/>
    <w:rsid w:val="00AA260F"/>
    <w:rsid w:val="00AB1EE7"/>
    <w:rsid w:val="00AB4B37"/>
    <w:rsid w:val="00AB5762"/>
    <w:rsid w:val="00AC2679"/>
    <w:rsid w:val="00AC4BE4"/>
    <w:rsid w:val="00AC5368"/>
    <w:rsid w:val="00AD05E6"/>
    <w:rsid w:val="00AD0D3F"/>
    <w:rsid w:val="00AD13FB"/>
    <w:rsid w:val="00AE1D7D"/>
    <w:rsid w:val="00AE1F79"/>
    <w:rsid w:val="00AE2A8B"/>
    <w:rsid w:val="00AE3F64"/>
    <w:rsid w:val="00AF04FA"/>
    <w:rsid w:val="00AF6C44"/>
    <w:rsid w:val="00AF7386"/>
    <w:rsid w:val="00AF7934"/>
    <w:rsid w:val="00B00B81"/>
    <w:rsid w:val="00B04580"/>
    <w:rsid w:val="00B04B09"/>
    <w:rsid w:val="00B075CC"/>
    <w:rsid w:val="00B16A51"/>
    <w:rsid w:val="00B246A5"/>
    <w:rsid w:val="00B320CD"/>
    <w:rsid w:val="00B32222"/>
    <w:rsid w:val="00B3618D"/>
    <w:rsid w:val="00B36233"/>
    <w:rsid w:val="00B42851"/>
    <w:rsid w:val="00B448A4"/>
    <w:rsid w:val="00B45350"/>
    <w:rsid w:val="00B45AC7"/>
    <w:rsid w:val="00B5372F"/>
    <w:rsid w:val="00B53987"/>
    <w:rsid w:val="00B56D5C"/>
    <w:rsid w:val="00B61129"/>
    <w:rsid w:val="00B624A3"/>
    <w:rsid w:val="00B67E7F"/>
    <w:rsid w:val="00B7653D"/>
    <w:rsid w:val="00B76DB3"/>
    <w:rsid w:val="00B77427"/>
    <w:rsid w:val="00B839B2"/>
    <w:rsid w:val="00B94252"/>
    <w:rsid w:val="00B9715A"/>
    <w:rsid w:val="00BA14BE"/>
    <w:rsid w:val="00BA25D5"/>
    <w:rsid w:val="00BA2732"/>
    <w:rsid w:val="00BA293D"/>
    <w:rsid w:val="00BA49BC"/>
    <w:rsid w:val="00BA56B7"/>
    <w:rsid w:val="00BA7A1E"/>
    <w:rsid w:val="00BB2F6C"/>
    <w:rsid w:val="00BB3875"/>
    <w:rsid w:val="00BB5860"/>
    <w:rsid w:val="00BB6AAD"/>
    <w:rsid w:val="00BC09DE"/>
    <w:rsid w:val="00BC4A19"/>
    <w:rsid w:val="00BC4E6D"/>
    <w:rsid w:val="00BC6462"/>
    <w:rsid w:val="00BD0617"/>
    <w:rsid w:val="00BD0A9E"/>
    <w:rsid w:val="00BD14E6"/>
    <w:rsid w:val="00BD2E9B"/>
    <w:rsid w:val="00BD42BF"/>
    <w:rsid w:val="00BD7FB2"/>
    <w:rsid w:val="00BE3AEE"/>
    <w:rsid w:val="00BE3ED5"/>
    <w:rsid w:val="00BE42C7"/>
    <w:rsid w:val="00BE79AF"/>
    <w:rsid w:val="00BF1C2A"/>
    <w:rsid w:val="00BF57EC"/>
    <w:rsid w:val="00C00930"/>
    <w:rsid w:val="00C02732"/>
    <w:rsid w:val="00C05B58"/>
    <w:rsid w:val="00C060AD"/>
    <w:rsid w:val="00C113BF"/>
    <w:rsid w:val="00C2176E"/>
    <w:rsid w:val="00C23430"/>
    <w:rsid w:val="00C27D67"/>
    <w:rsid w:val="00C357C5"/>
    <w:rsid w:val="00C40778"/>
    <w:rsid w:val="00C43321"/>
    <w:rsid w:val="00C435AF"/>
    <w:rsid w:val="00C4631F"/>
    <w:rsid w:val="00C47CDE"/>
    <w:rsid w:val="00C50E16"/>
    <w:rsid w:val="00C50FE5"/>
    <w:rsid w:val="00C55258"/>
    <w:rsid w:val="00C71A8A"/>
    <w:rsid w:val="00C75FA3"/>
    <w:rsid w:val="00C82EEB"/>
    <w:rsid w:val="00C927B1"/>
    <w:rsid w:val="00C971DC"/>
    <w:rsid w:val="00CA16B7"/>
    <w:rsid w:val="00CA3AE4"/>
    <w:rsid w:val="00CA4DC2"/>
    <w:rsid w:val="00CA62AE"/>
    <w:rsid w:val="00CA72D0"/>
    <w:rsid w:val="00CB03B8"/>
    <w:rsid w:val="00CB5B1A"/>
    <w:rsid w:val="00CB730A"/>
    <w:rsid w:val="00CC220B"/>
    <w:rsid w:val="00CC5C43"/>
    <w:rsid w:val="00CD02AE"/>
    <w:rsid w:val="00CD2A4F"/>
    <w:rsid w:val="00CD430A"/>
    <w:rsid w:val="00CD6A6C"/>
    <w:rsid w:val="00CE03CA"/>
    <w:rsid w:val="00CE22F1"/>
    <w:rsid w:val="00CE50F2"/>
    <w:rsid w:val="00CE6502"/>
    <w:rsid w:val="00CE6B8B"/>
    <w:rsid w:val="00CE6FD3"/>
    <w:rsid w:val="00CE775B"/>
    <w:rsid w:val="00CF6BC8"/>
    <w:rsid w:val="00CF7D3C"/>
    <w:rsid w:val="00D01F09"/>
    <w:rsid w:val="00D03527"/>
    <w:rsid w:val="00D0456B"/>
    <w:rsid w:val="00D147EB"/>
    <w:rsid w:val="00D243C2"/>
    <w:rsid w:val="00D34667"/>
    <w:rsid w:val="00D401E1"/>
    <w:rsid w:val="00D408B4"/>
    <w:rsid w:val="00D44330"/>
    <w:rsid w:val="00D45430"/>
    <w:rsid w:val="00D524C8"/>
    <w:rsid w:val="00D57F88"/>
    <w:rsid w:val="00D6155F"/>
    <w:rsid w:val="00D6229A"/>
    <w:rsid w:val="00D660E1"/>
    <w:rsid w:val="00D70E24"/>
    <w:rsid w:val="00D72B61"/>
    <w:rsid w:val="00D740A2"/>
    <w:rsid w:val="00D779E3"/>
    <w:rsid w:val="00D8281D"/>
    <w:rsid w:val="00DA3D1D"/>
    <w:rsid w:val="00DA553D"/>
    <w:rsid w:val="00DB4B64"/>
    <w:rsid w:val="00DB6286"/>
    <w:rsid w:val="00DB645F"/>
    <w:rsid w:val="00DB76E9"/>
    <w:rsid w:val="00DC09F2"/>
    <w:rsid w:val="00DC0A67"/>
    <w:rsid w:val="00DC1D5E"/>
    <w:rsid w:val="00DC2498"/>
    <w:rsid w:val="00DC4FC4"/>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2076"/>
    <w:rsid w:val="00E37C62"/>
    <w:rsid w:val="00E4086F"/>
    <w:rsid w:val="00E43B3C"/>
    <w:rsid w:val="00E4501C"/>
    <w:rsid w:val="00E50188"/>
    <w:rsid w:val="00E50BB3"/>
    <w:rsid w:val="00E515CB"/>
    <w:rsid w:val="00E52260"/>
    <w:rsid w:val="00E6071D"/>
    <w:rsid w:val="00E6141E"/>
    <w:rsid w:val="00E639B6"/>
    <w:rsid w:val="00E63BBD"/>
    <w:rsid w:val="00E6434B"/>
    <w:rsid w:val="00E6462F"/>
    <w:rsid w:val="00E6463D"/>
    <w:rsid w:val="00E6480C"/>
    <w:rsid w:val="00E71492"/>
    <w:rsid w:val="00E72E9B"/>
    <w:rsid w:val="00E7433C"/>
    <w:rsid w:val="00E850C3"/>
    <w:rsid w:val="00E87DF2"/>
    <w:rsid w:val="00E9462E"/>
    <w:rsid w:val="00EA470E"/>
    <w:rsid w:val="00EA47A7"/>
    <w:rsid w:val="00EA57EB"/>
    <w:rsid w:val="00EB1292"/>
    <w:rsid w:val="00EB3226"/>
    <w:rsid w:val="00EC078C"/>
    <w:rsid w:val="00EC10E0"/>
    <w:rsid w:val="00EC1610"/>
    <w:rsid w:val="00EC213A"/>
    <w:rsid w:val="00EC4ADE"/>
    <w:rsid w:val="00EC7744"/>
    <w:rsid w:val="00ED0DAD"/>
    <w:rsid w:val="00ED0F46"/>
    <w:rsid w:val="00ED2373"/>
    <w:rsid w:val="00ED24F9"/>
    <w:rsid w:val="00ED2E38"/>
    <w:rsid w:val="00ED6C69"/>
    <w:rsid w:val="00EE3E8A"/>
    <w:rsid w:val="00EF58B8"/>
    <w:rsid w:val="00EF6386"/>
    <w:rsid w:val="00EF6D51"/>
    <w:rsid w:val="00EF6ECA"/>
    <w:rsid w:val="00F024E1"/>
    <w:rsid w:val="00F03BAA"/>
    <w:rsid w:val="00F06C10"/>
    <w:rsid w:val="00F1096F"/>
    <w:rsid w:val="00F12589"/>
    <w:rsid w:val="00F12595"/>
    <w:rsid w:val="00F134D9"/>
    <w:rsid w:val="00F1403D"/>
    <w:rsid w:val="00F1463F"/>
    <w:rsid w:val="00F21302"/>
    <w:rsid w:val="00F21B25"/>
    <w:rsid w:val="00F2430D"/>
    <w:rsid w:val="00F321DE"/>
    <w:rsid w:val="00F33777"/>
    <w:rsid w:val="00F40648"/>
    <w:rsid w:val="00F47DA2"/>
    <w:rsid w:val="00F50E41"/>
    <w:rsid w:val="00F51321"/>
    <w:rsid w:val="00F519FC"/>
    <w:rsid w:val="00F60EF4"/>
    <w:rsid w:val="00F6239D"/>
    <w:rsid w:val="00F715D2"/>
    <w:rsid w:val="00F7274F"/>
    <w:rsid w:val="00F731CB"/>
    <w:rsid w:val="00F74E84"/>
    <w:rsid w:val="00F75550"/>
    <w:rsid w:val="00F76FA8"/>
    <w:rsid w:val="00F80F2D"/>
    <w:rsid w:val="00F85AFE"/>
    <w:rsid w:val="00F85EF7"/>
    <w:rsid w:val="00F93F08"/>
    <w:rsid w:val="00F94CED"/>
    <w:rsid w:val="00FA02BB"/>
    <w:rsid w:val="00FA2CEE"/>
    <w:rsid w:val="00FA318C"/>
    <w:rsid w:val="00FB14B3"/>
    <w:rsid w:val="00FB2DA1"/>
    <w:rsid w:val="00FB6F92"/>
    <w:rsid w:val="00FC026E"/>
    <w:rsid w:val="00FC5124"/>
    <w:rsid w:val="00FD4731"/>
    <w:rsid w:val="00FD6768"/>
    <w:rsid w:val="00FE0ADA"/>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link w:val="ListParagraphChar"/>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customStyle="1" w:styleId="tabletext0">
    <w:name w:val="tabletext"/>
    <w:basedOn w:val="Normal"/>
    <w:rsid w:val="00CE6B8B"/>
    <w:pPr>
      <w:spacing w:before="100" w:beforeAutospacing="1" w:after="100" w:afterAutospacing="1" w:line="240" w:lineRule="auto"/>
    </w:pPr>
    <w:rPr>
      <w:rFonts w:ascii="Times New Roman" w:hAnsi="Times New Roman"/>
      <w:color w:val="auto"/>
      <w:sz w:val="24"/>
      <w:lang w:eastAsia="en-AU"/>
    </w:rPr>
  </w:style>
  <w:style w:type="paragraph" w:customStyle="1" w:styleId="tablea">
    <w:name w:val="tablea"/>
    <w:basedOn w:val="Normal"/>
    <w:rsid w:val="00CE6B8B"/>
    <w:pPr>
      <w:spacing w:before="100" w:beforeAutospacing="1" w:after="100" w:afterAutospacing="1" w:line="240" w:lineRule="auto"/>
    </w:pPr>
    <w:rPr>
      <w:rFonts w:ascii="Times New Roman" w:hAnsi="Times New Roman"/>
      <w:color w:val="auto"/>
      <w:sz w:val="24"/>
      <w:lang w:eastAsia="en-AU"/>
    </w:rPr>
  </w:style>
  <w:style w:type="paragraph" w:customStyle="1" w:styleId="tablei">
    <w:name w:val="tablei"/>
    <w:basedOn w:val="Normal"/>
    <w:rsid w:val="00CE6B8B"/>
    <w:pPr>
      <w:spacing w:before="100" w:beforeAutospacing="1" w:after="100" w:afterAutospacing="1" w:line="240" w:lineRule="auto"/>
    </w:pPr>
    <w:rPr>
      <w:rFonts w:ascii="Times New Roman" w:hAnsi="Times New Roman"/>
      <w:color w:val="auto"/>
      <w:sz w:val="24"/>
      <w:lang w:eastAsia="en-AU"/>
    </w:rPr>
  </w:style>
  <w:style w:type="paragraph" w:customStyle="1" w:styleId="tableaa">
    <w:name w:val="tableaa"/>
    <w:basedOn w:val="Normal"/>
    <w:rsid w:val="00CE6B8B"/>
    <w:pPr>
      <w:spacing w:before="100" w:beforeAutospacing="1" w:after="100" w:afterAutospacing="1" w:line="240" w:lineRule="auto"/>
    </w:pPr>
    <w:rPr>
      <w:rFonts w:ascii="Times New Roman" w:hAnsi="Times New Roman"/>
      <w:color w:val="auto"/>
      <w:sz w:val="24"/>
      <w:lang w:eastAsia="en-AU"/>
    </w:rPr>
  </w:style>
  <w:style w:type="character" w:customStyle="1" w:styleId="ListParagraphChar">
    <w:name w:val="List Paragraph Char"/>
    <w:basedOn w:val="DefaultParagraphFont"/>
    <w:link w:val="ListParagraph"/>
    <w:uiPriority w:val="34"/>
    <w:locked/>
    <w:rsid w:val="00AC5368"/>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8213">
      <w:bodyDiv w:val="1"/>
      <w:marLeft w:val="0"/>
      <w:marRight w:val="0"/>
      <w:marTop w:val="0"/>
      <w:marBottom w:val="0"/>
      <w:divBdr>
        <w:top w:val="none" w:sz="0" w:space="0" w:color="auto"/>
        <w:left w:val="none" w:sz="0" w:space="0" w:color="auto"/>
        <w:bottom w:val="none" w:sz="0" w:space="0" w:color="auto"/>
        <w:right w:val="none" w:sz="0" w:space="0" w:color="auto"/>
      </w:divBdr>
    </w:div>
    <w:div w:id="145821525">
      <w:bodyDiv w:val="1"/>
      <w:marLeft w:val="0"/>
      <w:marRight w:val="0"/>
      <w:marTop w:val="0"/>
      <w:marBottom w:val="0"/>
      <w:divBdr>
        <w:top w:val="none" w:sz="0" w:space="0" w:color="auto"/>
        <w:left w:val="none" w:sz="0" w:space="0" w:color="auto"/>
        <w:bottom w:val="none" w:sz="0" w:space="0" w:color="auto"/>
        <w:right w:val="none" w:sz="0" w:space="0" w:color="auto"/>
      </w:divBdr>
    </w:div>
    <w:div w:id="149100336">
      <w:bodyDiv w:val="1"/>
      <w:marLeft w:val="0"/>
      <w:marRight w:val="0"/>
      <w:marTop w:val="0"/>
      <w:marBottom w:val="0"/>
      <w:divBdr>
        <w:top w:val="none" w:sz="0" w:space="0" w:color="auto"/>
        <w:left w:val="none" w:sz="0" w:space="0" w:color="auto"/>
        <w:bottom w:val="none" w:sz="0" w:space="0" w:color="auto"/>
        <w:right w:val="none" w:sz="0" w:space="0" w:color="auto"/>
      </w:divBdr>
    </w:div>
    <w:div w:id="151454872">
      <w:bodyDiv w:val="1"/>
      <w:marLeft w:val="0"/>
      <w:marRight w:val="0"/>
      <w:marTop w:val="0"/>
      <w:marBottom w:val="0"/>
      <w:divBdr>
        <w:top w:val="none" w:sz="0" w:space="0" w:color="auto"/>
        <w:left w:val="none" w:sz="0" w:space="0" w:color="auto"/>
        <w:bottom w:val="none" w:sz="0" w:space="0" w:color="auto"/>
        <w:right w:val="none" w:sz="0" w:space="0" w:color="auto"/>
      </w:divBdr>
    </w:div>
    <w:div w:id="164134748">
      <w:bodyDiv w:val="1"/>
      <w:marLeft w:val="0"/>
      <w:marRight w:val="0"/>
      <w:marTop w:val="0"/>
      <w:marBottom w:val="0"/>
      <w:divBdr>
        <w:top w:val="none" w:sz="0" w:space="0" w:color="auto"/>
        <w:left w:val="none" w:sz="0" w:space="0" w:color="auto"/>
        <w:bottom w:val="none" w:sz="0" w:space="0" w:color="auto"/>
        <w:right w:val="none" w:sz="0" w:space="0" w:color="auto"/>
      </w:divBdr>
    </w:div>
    <w:div w:id="228228588">
      <w:bodyDiv w:val="1"/>
      <w:marLeft w:val="0"/>
      <w:marRight w:val="0"/>
      <w:marTop w:val="0"/>
      <w:marBottom w:val="0"/>
      <w:divBdr>
        <w:top w:val="none" w:sz="0" w:space="0" w:color="auto"/>
        <w:left w:val="none" w:sz="0" w:space="0" w:color="auto"/>
        <w:bottom w:val="none" w:sz="0" w:space="0" w:color="auto"/>
        <w:right w:val="none" w:sz="0" w:space="0" w:color="auto"/>
      </w:divBdr>
    </w:div>
    <w:div w:id="25725280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4382153">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8691025">
      <w:bodyDiv w:val="1"/>
      <w:marLeft w:val="0"/>
      <w:marRight w:val="0"/>
      <w:marTop w:val="0"/>
      <w:marBottom w:val="0"/>
      <w:divBdr>
        <w:top w:val="none" w:sz="0" w:space="0" w:color="auto"/>
        <w:left w:val="none" w:sz="0" w:space="0" w:color="auto"/>
        <w:bottom w:val="none" w:sz="0" w:space="0" w:color="auto"/>
        <w:right w:val="none" w:sz="0" w:space="0" w:color="auto"/>
      </w:divBdr>
    </w:div>
    <w:div w:id="479226668">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6642408">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58335724">
      <w:bodyDiv w:val="1"/>
      <w:marLeft w:val="0"/>
      <w:marRight w:val="0"/>
      <w:marTop w:val="0"/>
      <w:marBottom w:val="0"/>
      <w:divBdr>
        <w:top w:val="none" w:sz="0" w:space="0" w:color="auto"/>
        <w:left w:val="none" w:sz="0" w:space="0" w:color="auto"/>
        <w:bottom w:val="none" w:sz="0" w:space="0" w:color="auto"/>
        <w:right w:val="none" w:sz="0" w:space="0" w:color="auto"/>
      </w:divBdr>
    </w:div>
    <w:div w:id="95887206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0275710">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71826115">
      <w:bodyDiv w:val="1"/>
      <w:marLeft w:val="0"/>
      <w:marRight w:val="0"/>
      <w:marTop w:val="0"/>
      <w:marBottom w:val="0"/>
      <w:divBdr>
        <w:top w:val="none" w:sz="0" w:space="0" w:color="auto"/>
        <w:left w:val="none" w:sz="0" w:space="0" w:color="auto"/>
        <w:bottom w:val="none" w:sz="0" w:space="0" w:color="auto"/>
        <w:right w:val="none" w:sz="0" w:space="0" w:color="auto"/>
      </w:divBdr>
    </w:div>
    <w:div w:id="1484007994">
      <w:bodyDiv w:val="1"/>
      <w:marLeft w:val="0"/>
      <w:marRight w:val="0"/>
      <w:marTop w:val="0"/>
      <w:marBottom w:val="0"/>
      <w:divBdr>
        <w:top w:val="none" w:sz="0" w:space="0" w:color="auto"/>
        <w:left w:val="none" w:sz="0" w:space="0" w:color="auto"/>
        <w:bottom w:val="none" w:sz="0" w:space="0" w:color="auto"/>
        <w:right w:val="none" w:sz="0" w:space="0" w:color="auto"/>
      </w:divBdr>
    </w:div>
    <w:div w:id="1499037543">
      <w:bodyDiv w:val="1"/>
      <w:marLeft w:val="0"/>
      <w:marRight w:val="0"/>
      <w:marTop w:val="0"/>
      <w:marBottom w:val="0"/>
      <w:divBdr>
        <w:top w:val="none" w:sz="0" w:space="0" w:color="auto"/>
        <w:left w:val="none" w:sz="0" w:space="0" w:color="auto"/>
        <w:bottom w:val="none" w:sz="0" w:space="0" w:color="auto"/>
        <w:right w:val="none" w:sz="0" w:space="0" w:color="auto"/>
      </w:divBdr>
    </w:div>
    <w:div w:id="1557547052">
      <w:bodyDiv w:val="1"/>
      <w:marLeft w:val="0"/>
      <w:marRight w:val="0"/>
      <w:marTop w:val="0"/>
      <w:marBottom w:val="0"/>
      <w:divBdr>
        <w:top w:val="none" w:sz="0" w:space="0" w:color="auto"/>
        <w:left w:val="none" w:sz="0" w:space="0" w:color="auto"/>
        <w:bottom w:val="none" w:sz="0" w:space="0" w:color="auto"/>
        <w:right w:val="none" w:sz="0" w:space="0" w:color="auto"/>
      </w:divBdr>
    </w:div>
    <w:div w:id="1561672336">
      <w:bodyDiv w:val="1"/>
      <w:marLeft w:val="0"/>
      <w:marRight w:val="0"/>
      <w:marTop w:val="0"/>
      <w:marBottom w:val="0"/>
      <w:divBdr>
        <w:top w:val="none" w:sz="0" w:space="0" w:color="auto"/>
        <w:left w:val="none" w:sz="0" w:space="0" w:color="auto"/>
        <w:bottom w:val="none" w:sz="0" w:space="0" w:color="auto"/>
        <w:right w:val="none" w:sz="0" w:space="0" w:color="auto"/>
      </w:divBdr>
    </w:div>
    <w:div w:id="1628975457">
      <w:bodyDiv w:val="1"/>
      <w:marLeft w:val="0"/>
      <w:marRight w:val="0"/>
      <w:marTop w:val="0"/>
      <w:marBottom w:val="0"/>
      <w:divBdr>
        <w:top w:val="none" w:sz="0" w:space="0" w:color="auto"/>
        <w:left w:val="none" w:sz="0" w:space="0" w:color="auto"/>
        <w:bottom w:val="none" w:sz="0" w:space="0" w:color="auto"/>
        <w:right w:val="none" w:sz="0" w:space="0" w:color="auto"/>
      </w:divBdr>
    </w:div>
    <w:div w:id="1746220573">
      <w:bodyDiv w:val="1"/>
      <w:marLeft w:val="0"/>
      <w:marRight w:val="0"/>
      <w:marTop w:val="0"/>
      <w:marBottom w:val="0"/>
      <w:divBdr>
        <w:top w:val="none" w:sz="0" w:space="0" w:color="auto"/>
        <w:left w:val="none" w:sz="0" w:space="0" w:color="auto"/>
        <w:bottom w:val="none" w:sz="0" w:space="0" w:color="auto"/>
        <w:right w:val="none" w:sz="0" w:space="0" w:color="auto"/>
      </w:divBdr>
    </w:div>
    <w:div w:id="1787120355">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25582086">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are/compliance"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hyperlink" Target="http://www9.health.gov.au/mbs/fullDisplay.cfm?type=note&amp;qt=NoteID&amp;q=AN.0.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bsonline.gov.au/internet/mbsonline/publishing.nsf/Content/Factsheet-EMSN-1Jan2025" TargetMode="Externa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5" Type="http://schemas.openxmlformats.org/officeDocument/2006/relationships/hyperlink" Target="https://www.mbsonline.gov.au/internet/mbsonline/publishing.nsf/Content/Factsheet-EMSN-1Jan2025"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hyperlink" Target="http://www9.health.gov.au/mbs/fullDisplay.cfm?type=note&amp;qt=NoteID&amp;q=AN.4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hyperlink" Target="http://www9.health.gov.au/mbs/fullDisplay.cfm?type=note&amp;qt=NoteID&amp;q=AN.40.1" TargetMode="Externa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hyperlink" Target="http://www9.health.gov.au/mbs/fullDisplay.cfm?type=note&amp;qt=NoteID&amp;q=AN.0.23" TargetMode="External"/><Relationship Id="rId28" Type="http://schemas.openxmlformats.org/officeDocument/2006/relationships/footer" Target="footer2.xml"/><Relationship Id="rId10" Type="http://schemas.openxmlformats.org/officeDocument/2006/relationships/hyperlink" Target="https://www9.health.gov.au/mbs/subscribe.cfm" TargetMode="External"/><Relationship Id="rId19" Type="http://schemas.openxmlformats.org/officeDocument/2006/relationships/hyperlink" Target="http://www9.health.gov.au/mbs/fullDisplay.cfm?type=note&amp;qt=NoteID&amp;q=AN.0.23" TargetMode="Externa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hyperlink" Target="http://www9.health.gov.au/mbs/fullDisplay.cfm?type=note&amp;qt=NoteID&amp;q=AN.0.7"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8942</Characters>
  <Application>Microsoft Office Word</Application>
  <DocSecurity>0</DocSecurity>
  <Lines>178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2025-02-28T04:08:00Z</dcterms:created>
  <dcterms:modified xsi:type="dcterms:W3CDTF">2025-03-02T21:40:00Z</dcterms:modified>
</cp:coreProperties>
</file>