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79D8D8B4" w:rsidR="00BA2732" w:rsidRDefault="00CF6F54" w:rsidP="003D033A">
      <w:pPr>
        <w:pStyle w:val="Title"/>
      </w:pPr>
      <w:r>
        <w:t>Otolaryngo</w:t>
      </w:r>
      <w:r w:rsidR="00E86EA2">
        <w:t xml:space="preserve">logy </w:t>
      </w:r>
      <w:r w:rsidR="001360B7">
        <w:t xml:space="preserve">and </w:t>
      </w:r>
      <w:r w:rsidR="001360B7" w:rsidRPr="001360B7">
        <w:t xml:space="preserve">diagnostic audiology </w:t>
      </w:r>
      <w:r w:rsidR="00E86EA2">
        <w:t>changes</w:t>
      </w:r>
    </w:p>
    <w:p w14:paraId="6EFD4B5B" w14:textId="3DFDD4F4" w:rsidR="00064168" w:rsidRPr="00867595" w:rsidRDefault="00064168" w:rsidP="006F5073">
      <w:bookmarkStart w:id="0" w:name="_Hlk4568006"/>
      <w:r w:rsidRPr="00867595">
        <w:t xml:space="preserve">Last updated: </w:t>
      </w:r>
      <w:r w:rsidR="00275D31">
        <w:t>4 June</w:t>
      </w:r>
      <w:r w:rsidR="00277E8A">
        <w:t xml:space="preserve"> 2024</w:t>
      </w:r>
    </w:p>
    <w:bookmarkEnd w:id="0"/>
    <w:p w14:paraId="44460BF5" w14:textId="77777777" w:rsidR="00064168" w:rsidRPr="00867595" w:rsidRDefault="00064168" w:rsidP="00064168">
      <w:pPr>
        <w:pStyle w:val="Heading2"/>
      </w:pPr>
      <w:r w:rsidRPr="00867595">
        <w:t>What are the changes?</w:t>
      </w:r>
    </w:p>
    <w:p w14:paraId="61EA51CA" w14:textId="36C5B859" w:rsidR="00D6401D" w:rsidRPr="00867595" w:rsidRDefault="00916EEE" w:rsidP="00D6401D">
      <w:pPr>
        <w:rPr>
          <w:szCs w:val="22"/>
        </w:rPr>
      </w:pPr>
      <w:r>
        <w:rPr>
          <w:szCs w:val="22"/>
        </w:rPr>
        <w:t>E</w:t>
      </w:r>
      <w:r w:rsidR="00D6401D" w:rsidRPr="00867595">
        <w:rPr>
          <w:szCs w:val="22"/>
        </w:rPr>
        <w:t xml:space="preserve">ffective </w:t>
      </w:r>
      <w:r w:rsidR="00D6401D">
        <w:rPr>
          <w:szCs w:val="22"/>
        </w:rPr>
        <w:t xml:space="preserve">1 </w:t>
      </w:r>
      <w:r w:rsidR="009E30B7">
        <w:rPr>
          <w:szCs w:val="22"/>
        </w:rPr>
        <w:t>July</w:t>
      </w:r>
      <w:r w:rsidR="00D6401D">
        <w:rPr>
          <w:szCs w:val="22"/>
        </w:rPr>
        <w:t xml:space="preserve"> 202</w:t>
      </w:r>
      <w:r w:rsidR="009E30B7">
        <w:rPr>
          <w:szCs w:val="22"/>
        </w:rPr>
        <w:t>4</w:t>
      </w:r>
      <w:r w:rsidR="004C2A9B">
        <w:rPr>
          <w:szCs w:val="22"/>
        </w:rPr>
        <w:t>,</w:t>
      </w:r>
      <w:r w:rsidR="00D6401D" w:rsidRPr="00867595">
        <w:rPr>
          <w:szCs w:val="22"/>
        </w:rPr>
        <w:t xml:space="preserve"> there will be </w:t>
      </w:r>
      <w:r w:rsidR="00D6401D">
        <w:rPr>
          <w:szCs w:val="22"/>
        </w:rPr>
        <w:t>amendments</w:t>
      </w:r>
      <w:r w:rsidR="00D6401D" w:rsidRPr="00867595">
        <w:rPr>
          <w:szCs w:val="22"/>
        </w:rPr>
        <w:t xml:space="preserve"> </w:t>
      </w:r>
      <w:r w:rsidR="00D6401D">
        <w:rPr>
          <w:szCs w:val="22"/>
        </w:rPr>
        <w:t xml:space="preserve">to </w:t>
      </w:r>
      <w:r w:rsidR="004C2A9B" w:rsidRPr="004C2A9B">
        <w:rPr>
          <w:szCs w:val="22"/>
        </w:rPr>
        <w:t xml:space="preserve">the co-claiming restrictions </w:t>
      </w:r>
      <w:r w:rsidR="004C2A9B">
        <w:rPr>
          <w:szCs w:val="22"/>
        </w:rPr>
        <w:t xml:space="preserve">for </w:t>
      </w:r>
      <w:r w:rsidR="009E30B7">
        <w:rPr>
          <w:szCs w:val="22"/>
        </w:rPr>
        <w:t>four</w:t>
      </w:r>
      <w:r w:rsidR="00D6401D" w:rsidRPr="00867595">
        <w:rPr>
          <w:szCs w:val="22"/>
        </w:rPr>
        <w:t xml:space="preserve"> items for</w:t>
      </w:r>
      <w:r w:rsidR="00ED6996">
        <w:rPr>
          <w:szCs w:val="22"/>
        </w:rPr>
        <w:t xml:space="preserve"> diagnostic</w:t>
      </w:r>
      <w:r w:rsidR="00D6401D" w:rsidRPr="00867595">
        <w:rPr>
          <w:szCs w:val="22"/>
        </w:rPr>
        <w:t xml:space="preserve"> </w:t>
      </w:r>
      <w:bookmarkStart w:id="1" w:name="_Hlk143606242"/>
      <w:r w:rsidR="004C2A9B">
        <w:rPr>
          <w:szCs w:val="22"/>
        </w:rPr>
        <w:t>audiology</w:t>
      </w:r>
      <w:r w:rsidR="004C2A9B" w:rsidRPr="003A06CC">
        <w:rPr>
          <w:szCs w:val="22"/>
        </w:rPr>
        <w:t xml:space="preserve"> </w:t>
      </w:r>
      <w:r w:rsidR="00D6401D" w:rsidRPr="003A06CC">
        <w:rPr>
          <w:szCs w:val="22"/>
        </w:rPr>
        <w:t>services</w:t>
      </w:r>
      <w:bookmarkEnd w:id="1"/>
      <w:r w:rsidR="00CB7C9C">
        <w:rPr>
          <w:lang w:eastAsia="en-AU"/>
        </w:rPr>
        <w:t>, as well as the introduction of</w:t>
      </w:r>
      <w:r w:rsidR="00014BE3">
        <w:rPr>
          <w:lang w:eastAsia="en-AU"/>
        </w:rPr>
        <w:t xml:space="preserve"> </w:t>
      </w:r>
      <w:r w:rsidR="004C2A9B" w:rsidRPr="004C2A9B">
        <w:rPr>
          <w:lang w:eastAsia="en-AU"/>
        </w:rPr>
        <w:t>two new items</w:t>
      </w:r>
      <w:r w:rsidR="004C2A9B">
        <w:rPr>
          <w:lang w:eastAsia="en-AU"/>
        </w:rPr>
        <w:t xml:space="preserve"> </w:t>
      </w:r>
      <w:r w:rsidR="004C2A9B" w:rsidRPr="004C2A9B">
        <w:rPr>
          <w:lang w:eastAsia="en-AU"/>
        </w:rPr>
        <w:t xml:space="preserve">for the </w:t>
      </w:r>
      <w:r w:rsidR="00014BE3">
        <w:rPr>
          <w:lang w:eastAsia="en-AU"/>
        </w:rPr>
        <w:t>insertion of bioabsorbable nasal implants</w:t>
      </w:r>
      <w:r w:rsidR="00D6401D" w:rsidRPr="003A06CC">
        <w:rPr>
          <w:szCs w:val="22"/>
        </w:rPr>
        <w:t>.</w:t>
      </w:r>
      <w:r w:rsidR="00D6401D">
        <w:rPr>
          <w:szCs w:val="22"/>
        </w:rPr>
        <w:t xml:space="preserve"> </w:t>
      </w:r>
      <w:r w:rsidR="00D6401D" w:rsidRPr="00867595">
        <w:rPr>
          <w:szCs w:val="22"/>
        </w:rPr>
        <w:t xml:space="preserve">The </w:t>
      </w:r>
      <w:r w:rsidR="00014BE3">
        <w:rPr>
          <w:szCs w:val="22"/>
        </w:rPr>
        <w:t>changes</w:t>
      </w:r>
      <w:r w:rsidR="00AF3EA3">
        <w:rPr>
          <w:szCs w:val="22"/>
        </w:rPr>
        <w:t xml:space="preserve"> are as follows</w:t>
      </w:r>
      <w:r w:rsidR="00D6401D" w:rsidRPr="00867595">
        <w:rPr>
          <w:szCs w:val="22"/>
        </w:rPr>
        <w:t>:</w:t>
      </w:r>
    </w:p>
    <w:p w14:paraId="04B66D90" w14:textId="54AE6CFF" w:rsidR="00605FE7" w:rsidRPr="00867595" w:rsidRDefault="00605FE7" w:rsidP="00605FE7">
      <w:pPr>
        <w:pStyle w:val="ListBullet"/>
      </w:pPr>
      <w:r>
        <w:t xml:space="preserve">Item </w:t>
      </w:r>
      <w:r w:rsidRPr="00605FE7">
        <w:rPr>
          <w:b/>
          <w:bCs/>
        </w:rPr>
        <w:t>11300</w:t>
      </w:r>
      <w:r>
        <w:t xml:space="preserve"> will be amended to remove co-claiming restrictions with items 11340, 11341 and 11343.</w:t>
      </w:r>
    </w:p>
    <w:p w14:paraId="0A7EDA4A" w14:textId="6FA5CFE8" w:rsidR="00605FE7" w:rsidRDefault="00605FE7" w:rsidP="00605FE7">
      <w:pPr>
        <w:pStyle w:val="ListBullet"/>
      </w:pPr>
      <w:r>
        <w:t xml:space="preserve">Items </w:t>
      </w:r>
      <w:r w:rsidRPr="00605FE7">
        <w:rPr>
          <w:b/>
          <w:bCs/>
        </w:rPr>
        <w:t>11340</w:t>
      </w:r>
      <w:r>
        <w:t xml:space="preserve">, </w:t>
      </w:r>
      <w:r w:rsidRPr="00605FE7">
        <w:rPr>
          <w:b/>
          <w:bCs/>
        </w:rPr>
        <w:t>11341</w:t>
      </w:r>
      <w:r>
        <w:t xml:space="preserve"> and </w:t>
      </w:r>
      <w:r w:rsidRPr="00605FE7">
        <w:rPr>
          <w:b/>
          <w:bCs/>
        </w:rPr>
        <w:t>11343</w:t>
      </w:r>
      <w:r>
        <w:t xml:space="preserve"> will be amended to remove </w:t>
      </w:r>
      <w:r w:rsidR="00CB7C9C">
        <w:t xml:space="preserve">the </w:t>
      </w:r>
      <w:r>
        <w:t xml:space="preserve">co-claiming restriction with item </w:t>
      </w:r>
      <w:r w:rsidRPr="00CD7D38">
        <w:t>11300</w:t>
      </w:r>
      <w:r>
        <w:t>.</w:t>
      </w:r>
    </w:p>
    <w:p w14:paraId="4D8D8C59" w14:textId="5D5B699D" w:rsidR="00150D23" w:rsidRPr="00867595" w:rsidRDefault="00150D23" w:rsidP="00605FE7">
      <w:pPr>
        <w:pStyle w:val="ListBullet"/>
      </w:pPr>
      <w:r>
        <w:t xml:space="preserve">New items </w:t>
      </w:r>
      <w:r w:rsidR="00A4591E" w:rsidRPr="00131117">
        <w:rPr>
          <w:b/>
          <w:bCs/>
        </w:rPr>
        <w:t>41768</w:t>
      </w:r>
      <w:r w:rsidR="00A4591E">
        <w:t xml:space="preserve"> and </w:t>
      </w:r>
      <w:r w:rsidR="00A4591E" w:rsidRPr="00131117">
        <w:rPr>
          <w:b/>
          <w:bCs/>
        </w:rPr>
        <w:t>41769</w:t>
      </w:r>
      <w:r w:rsidR="00A4591E">
        <w:t xml:space="preserve"> will be </w:t>
      </w:r>
      <w:r w:rsidR="004C2A9B">
        <w:t xml:space="preserve">introduced </w:t>
      </w:r>
      <w:r w:rsidR="00A4591E">
        <w:t xml:space="preserve">for the unilateral and bilateral insertion </w:t>
      </w:r>
      <w:r w:rsidR="00131117" w:rsidRPr="00131117">
        <w:t>of a bioabsorbable implant to treat nasal airway obstruction that has occurred due to lateral wall insufficiency</w:t>
      </w:r>
      <w:r w:rsidR="00131117">
        <w:t>.</w:t>
      </w:r>
    </w:p>
    <w:p w14:paraId="42BD5171" w14:textId="77777777" w:rsidR="00064168" w:rsidRDefault="00064168" w:rsidP="00064168">
      <w:pPr>
        <w:pStyle w:val="Heading2"/>
      </w:pPr>
      <w:r>
        <w:t>Why are the changes being made?</w:t>
      </w:r>
    </w:p>
    <w:p w14:paraId="5CD9EA60" w14:textId="6D934C92" w:rsidR="00BC2B15" w:rsidRDefault="00CB7C9C" w:rsidP="00BC2B15">
      <w:pPr>
        <w:rPr>
          <w:szCs w:val="22"/>
        </w:rPr>
      </w:pPr>
      <w:bookmarkStart w:id="2" w:name="_Hlk535386664"/>
      <w:r>
        <w:rPr>
          <w:szCs w:val="22"/>
        </w:rPr>
        <w:t>C</w:t>
      </w:r>
      <w:r w:rsidR="00BC2B15" w:rsidRPr="00867595">
        <w:rPr>
          <w:szCs w:val="22"/>
        </w:rPr>
        <w:t>hanges</w:t>
      </w:r>
      <w:r w:rsidR="00BC2B15">
        <w:rPr>
          <w:szCs w:val="22"/>
        </w:rPr>
        <w:t xml:space="preserve"> to items </w:t>
      </w:r>
      <w:r w:rsidR="00FE1A98">
        <w:rPr>
          <w:szCs w:val="22"/>
        </w:rPr>
        <w:t>11300, 11340, 11341 and 11343</w:t>
      </w:r>
      <w:r w:rsidR="00BC2B15" w:rsidRPr="00867595">
        <w:rPr>
          <w:szCs w:val="22"/>
        </w:rPr>
        <w:t xml:space="preserve"> </w:t>
      </w:r>
      <w:r>
        <w:rPr>
          <w:szCs w:val="22"/>
        </w:rPr>
        <w:t>were</w:t>
      </w:r>
      <w:r w:rsidR="00BC2B15" w:rsidRPr="00867595">
        <w:rPr>
          <w:szCs w:val="22"/>
        </w:rPr>
        <w:t xml:space="preserve"> </w:t>
      </w:r>
      <w:r w:rsidR="00177C4A">
        <w:rPr>
          <w:szCs w:val="22"/>
        </w:rPr>
        <w:t>recommend</w:t>
      </w:r>
      <w:r>
        <w:rPr>
          <w:szCs w:val="22"/>
        </w:rPr>
        <w:t>ed</w:t>
      </w:r>
      <w:r w:rsidR="00BC2B15" w:rsidRPr="00867595">
        <w:rPr>
          <w:szCs w:val="22"/>
        </w:rPr>
        <w:t xml:space="preserve"> </w:t>
      </w:r>
      <w:r w:rsidR="00CD0A9D">
        <w:rPr>
          <w:szCs w:val="22"/>
        </w:rPr>
        <w:t xml:space="preserve">by </w:t>
      </w:r>
      <w:r w:rsidR="00CD0A9D" w:rsidRPr="00CD0A9D">
        <w:rPr>
          <w:szCs w:val="22"/>
        </w:rPr>
        <w:t>the Otolaryngology Head and Neck Surgery Implementation Liaison Group</w:t>
      </w:r>
      <w:r w:rsidR="00D616ED">
        <w:rPr>
          <w:szCs w:val="22"/>
        </w:rPr>
        <w:t xml:space="preserve"> (ILG)</w:t>
      </w:r>
      <w:r w:rsidR="00894DA8">
        <w:rPr>
          <w:szCs w:val="22"/>
        </w:rPr>
        <w:t xml:space="preserve">, </w:t>
      </w:r>
      <w:r w:rsidR="00CD0A9D" w:rsidRPr="00CD0A9D">
        <w:rPr>
          <w:szCs w:val="22"/>
        </w:rPr>
        <w:t xml:space="preserve">following the </w:t>
      </w:r>
      <w:r>
        <w:rPr>
          <w:szCs w:val="22"/>
        </w:rPr>
        <w:t>1</w:t>
      </w:r>
      <w:r w:rsidR="000F7778">
        <w:rPr>
          <w:szCs w:val="22"/>
        </w:rPr>
        <w:t> </w:t>
      </w:r>
      <w:r>
        <w:rPr>
          <w:szCs w:val="22"/>
        </w:rPr>
        <w:t xml:space="preserve">March 2023 </w:t>
      </w:r>
      <w:r w:rsidR="00CD0A9D" w:rsidRPr="00CD0A9D">
        <w:rPr>
          <w:szCs w:val="22"/>
        </w:rPr>
        <w:t>implementation of new and amended items as part of the MBS Taskforce Review of Otolaryngology, Head and Neck Surgery items</w:t>
      </w:r>
      <w:r w:rsidR="005C628D">
        <w:rPr>
          <w:szCs w:val="22"/>
        </w:rPr>
        <w:t xml:space="preserve">. </w:t>
      </w:r>
      <w:r w:rsidR="009242ED">
        <w:rPr>
          <w:szCs w:val="22"/>
        </w:rPr>
        <w:t>The</w:t>
      </w:r>
      <w:r w:rsidR="003E1B4D">
        <w:rPr>
          <w:szCs w:val="22"/>
        </w:rPr>
        <w:t xml:space="preserve"> ILG advised that </w:t>
      </w:r>
      <w:r w:rsidR="009242ED">
        <w:t xml:space="preserve">there are clinically acceptable reasons for </w:t>
      </w:r>
      <w:r>
        <w:t>brain stem evoked audiometry (</w:t>
      </w:r>
      <w:r w:rsidR="009242ED">
        <w:t>item 11300</w:t>
      </w:r>
      <w:r>
        <w:t>)</w:t>
      </w:r>
      <w:r w:rsidR="009242ED">
        <w:t xml:space="preserve"> to be undertaken at the same time as </w:t>
      </w:r>
      <w:r>
        <w:t xml:space="preserve">vestibular assessment (items </w:t>
      </w:r>
      <w:r w:rsidR="009242ED">
        <w:t xml:space="preserve">11340, 11341 </w:t>
      </w:r>
      <w:r>
        <w:t>or</w:t>
      </w:r>
      <w:r w:rsidR="009242ED">
        <w:t xml:space="preserve"> 11343</w:t>
      </w:r>
      <w:r>
        <w:t>)</w:t>
      </w:r>
      <w:r w:rsidR="00894DA8">
        <w:t>.</w:t>
      </w:r>
      <w:r w:rsidR="001304D7">
        <w:t xml:space="preserve"> </w:t>
      </w:r>
      <w:r w:rsidR="00894DA8">
        <w:t>T</w:t>
      </w:r>
      <w:r w:rsidR="001304D7">
        <w:t xml:space="preserve">hese changes will allow for </w:t>
      </w:r>
      <w:r w:rsidR="00716395">
        <w:t>these items to be</w:t>
      </w:r>
      <w:r w:rsidR="001304D7">
        <w:t xml:space="preserve"> claimed </w:t>
      </w:r>
      <w:r w:rsidR="00716395">
        <w:t>together</w:t>
      </w:r>
      <w:r w:rsidR="004C2A9B">
        <w:t xml:space="preserve">, where clinically appropriate, </w:t>
      </w:r>
      <w:r w:rsidR="001304D7">
        <w:t>under the MBS.</w:t>
      </w:r>
    </w:p>
    <w:p w14:paraId="617E7397" w14:textId="48FE7AAC" w:rsidR="00064168" w:rsidRPr="00867595" w:rsidRDefault="00064168" w:rsidP="00064168">
      <w:pPr>
        <w:rPr>
          <w:szCs w:val="22"/>
        </w:rPr>
      </w:pPr>
      <w:r w:rsidRPr="001360B7">
        <w:rPr>
          <w:szCs w:val="22"/>
        </w:rPr>
        <w:t>The listing of th</w:t>
      </w:r>
      <w:r w:rsidR="00313965" w:rsidRPr="001360B7">
        <w:rPr>
          <w:szCs w:val="22"/>
        </w:rPr>
        <w:t>e</w:t>
      </w:r>
      <w:r w:rsidRPr="001360B7">
        <w:rPr>
          <w:szCs w:val="22"/>
        </w:rPr>
        <w:t xml:space="preserve"> service</w:t>
      </w:r>
      <w:r w:rsidR="00313965" w:rsidRPr="001360B7">
        <w:rPr>
          <w:szCs w:val="22"/>
        </w:rPr>
        <w:t xml:space="preserve">s covered under </w:t>
      </w:r>
      <w:r w:rsidR="00894DA8">
        <w:rPr>
          <w:szCs w:val="22"/>
        </w:rPr>
        <w:t xml:space="preserve">new </w:t>
      </w:r>
      <w:r w:rsidR="00313965" w:rsidRPr="001360B7">
        <w:rPr>
          <w:szCs w:val="22"/>
        </w:rPr>
        <w:t xml:space="preserve">items </w:t>
      </w:r>
      <w:r w:rsidR="00F52B42" w:rsidRPr="001360B7">
        <w:rPr>
          <w:szCs w:val="22"/>
        </w:rPr>
        <w:t>41768 and 41769</w:t>
      </w:r>
      <w:r w:rsidRPr="001360B7">
        <w:rPr>
          <w:szCs w:val="22"/>
        </w:rPr>
        <w:t xml:space="preserve"> was recommended by the Medical Services Advisory Committee (MSAC) in</w:t>
      </w:r>
      <w:r w:rsidR="00641255" w:rsidRPr="001360B7">
        <w:rPr>
          <w:szCs w:val="22"/>
        </w:rPr>
        <w:t xml:space="preserve"> March 2023</w:t>
      </w:r>
      <w:r w:rsidR="00981C3D" w:rsidRPr="001360B7">
        <w:rPr>
          <w:szCs w:val="22"/>
        </w:rPr>
        <w:t xml:space="preserve"> (refer </w:t>
      </w:r>
      <w:hyperlink r:id="rId8" w:history="1">
        <w:r w:rsidR="00981C3D" w:rsidRPr="001360B7">
          <w:rPr>
            <w:rStyle w:val="Hyperlink"/>
            <w:szCs w:val="22"/>
          </w:rPr>
          <w:t>MSAC Application 1719</w:t>
        </w:r>
      </w:hyperlink>
      <w:r w:rsidR="00981C3D" w:rsidRPr="001360B7">
        <w:rPr>
          <w:szCs w:val="22"/>
        </w:rPr>
        <w:t>)</w:t>
      </w:r>
      <w:r w:rsidRPr="001360B7">
        <w:rPr>
          <w:szCs w:val="22"/>
        </w:rPr>
        <w:t>.</w:t>
      </w:r>
      <w:r w:rsidRPr="00867595">
        <w:rPr>
          <w:szCs w:val="22"/>
        </w:rPr>
        <w:t xml:space="preserve"> </w:t>
      </w:r>
      <w:r w:rsidR="00894DA8">
        <w:rPr>
          <w:szCs w:val="22"/>
        </w:rPr>
        <w:t xml:space="preserve">These items will allow for a </w:t>
      </w:r>
      <w:r w:rsidR="00894DA8" w:rsidRPr="004037FB">
        <w:rPr>
          <w:szCs w:val="22"/>
        </w:rPr>
        <w:t xml:space="preserve">minimally invasive alternative </w:t>
      </w:r>
      <w:r w:rsidR="00894DA8">
        <w:rPr>
          <w:szCs w:val="22"/>
        </w:rPr>
        <w:t xml:space="preserve">treatment </w:t>
      </w:r>
      <w:r w:rsidR="00894DA8" w:rsidRPr="004037FB">
        <w:rPr>
          <w:szCs w:val="22"/>
        </w:rPr>
        <w:t>to rhinoplasty</w:t>
      </w:r>
      <w:r w:rsidR="00894DA8">
        <w:rPr>
          <w:szCs w:val="22"/>
        </w:rPr>
        <w:t>,</w:t>
      </w:r>
      <w:r w:rsidR="00894DA8" w:rsidRPr="004037FB">
        <w:rPr>
          <w:szCs w:val="22"/>
        </w:rPr>
        <w:t xml:space="preserve"> </w:t>
      </w:r>
      <w:r w:rsidR="00894DA8">
        <w:rPr>
          <w:szCs w:val="22"/>
        </w:rPr>
        <w:t xml:space="preserve">where clinically appropriate, for </w:t>
      </w:r>
      <w:r w:rsidR="00894DA8" w:rsidRPr="004037FB">
        <w:rPr>
          <w:szCs w:val="22"/>
        </w:rPr>
        <w:t>patients</w:t>
      </w:r>
      <w:r w:rsidR="00894DA8">
        <w:rPr>
          <w:szCs w:val="22"/>
        </w:rPr>
        <w:t xml:space="preserve"> that experience </w:t>
      </w:r>
      <w:r w:rsidR="00894DA8" w:rsidRPr="00131117">
        <w:t>nasal airway obstruction due to lateral wall insufficiency</w:t>
      </w:r>
      <w:r w:rsidR="00894DA8">
        <w:t xml:space="preserve">. </w:t>
      </w:r>
      <w:r w:rsidRPr="00867595">
        <w:rPr>
          <w:szCs w:val="22"/>
        </w:rPr>
        <w:t xml:space="preserve">Further details about MSAC applications can be found under </w:t>
      </w:r>
      <w:hyperlink r:id="rId9" w:history="1">
        <w:r w:rsidRPr="00867595">
          <w:rPr>
            <w:rStyle w:val="Hyperlink"/>
            <w:szCs w:val="22"/>
          </w:rPr>
          <w:t>MSAC Applications</w:t>
        </w:r>
      </w:hyperlink>
      <w:r w:rsidRPr="00867595">
        <w:rPr>
          <w:szCs w:val="22"/>
        </w:rPr>
        <w:t xml:space="preserve"> on the MSAC website (</w:t>
      </w:r>
      <w:hyperlink r:id="rId10" w:history="1">
        <w:r w:rsidRPr="00867595">
          <w:rPr>
            <w:rStyle w:val="Hyperlink"/>
            <w:szCs w:val="22"/>
          </w:rPr>
          <w:t>Medical Services Advisory Committee</w:t>
        </w:r>
      </w:hyperlink>
      <w:r w:rsidRPr="00867595">
        <w:rPr>
          <w:szCs w:val="22"/>
        </w:rPr>
        <w:t>).</w:t>
      </w:r>
      <w:bookmarkEnd w:id="2"/>
      <w:r w:rsidR="004037FB">
        <w:rPr>
          <w:szCs w:val="22"/>
        </w:rPr>
        <w:t xml:space="preserve"> </w:t>
      </w:r>
    </w:p>
    <w:p w14:paraId="225B63A6" w14:textId="77777777" w:rsidR="001E1EF9" w:rsidRDefault="001E1EF9" w:rsidP="001E1EF9">
      <w:pPr>
        <w:pStyle w:val="Heading2"/>
      </w:pPr>
      <w:r>
        <w:t>What does this mean for providers?</w:t>
      </w:r>
    </w:p>
    <w:p w14:paraId="7FAD09F2" w14:textId="5D856355" w:rsidR="004C2A9B" w:rsidRDefault="004C2A9B" w:rsidP="004C2A9B">
      <w:r>
        <w:rPr>
          <w:szCs w:val="22"/>
        </w:rPr>
        <w:t xml:space="preserve">The </w:t>
      </w:r>
      <w:r w:rsidR="00894DA8">
        <w:rPr>
          <w:szCs w:val="22"/>
        </w:rPr>
        <w:t>removal of</w:t>
      </w:r>
      <w:r>
        <w:rPr>
          <w:szCs w:val="22"/>
        </w:rPr>
        <w:t xml:space="preserve"> co-claiming restriction from items 11340, 11341 and 11343 with item 11300 </w:t>
      </w:r>
      <w:r>
        <w:t>will allow for providers to co-claim these services</w:t>
      </w:r>
      <w:r w:rsidR="00894DA8">
        <w:t>,</w:t>
      </w:r>
      <w:r>
        <w:t xml:space="preserve"> where </w:t>
      </w:r>
      <w:r w:rsidRPr="004C2A9B">
        <w:t xml:space="preserve">clinically relevant for a patient’s circumstances. </w:t>
      </w:r>
    </w:p>
    <w:p w14:paraId="2C6377CF" w14:textId="24DCAD44" w:rsidR="004C2A9B" w:rsidRPr="005329B8" w:rsidRDefault="004C2A9B" w:rsidP="004C2A9B">
      <w:pPr>
        <w:rPr>
          <w:szCs w:val="22"/>
        </w:rPr>
      </w:pPr>
      <w:r>
        <w:lastRenderedPageBreak/>
        <w:t xml:space="preserve">The introduction of </w:t>
      </w:r>
      <w:r w:rsidRPr="001360B7">
        <w:rPr>
          <w:szCs w:val="22"/>
        </w:rPr>
        <w:t>items 41768 and 41769</w:t>
      </w:r>
      <w:r w:rsidR="00894DA8">
        <w:rPr>
          <w:szCs w:val="22"/>
        </w:rPr>
        <w:t>,</w:t>
      </w:r>
      <w:r w:rsidRPr="00095DDF">
        <w:t xml:space="preserve"> </w:t>
      </w:r>
      <w:r>
        <w:t xml:space="preserve">for the unilateral and bilateral insertion </w:t>
      </w:r>
      <w:r w:rsidRPr="00131117">
        <w:t>of a bioabsorbable implant to treat nasal airway obstruction</w:t>
      </w:r>
      <w:r w:rsidR="00894DA8">
        <w:t>,</w:t>
      </w:r>
      <w:r w:rsidRPr="00131117">
        <w:t xml:space="preserve"> </w:t>
      </w:r>
      <w:r>
        <w:t xml:space="preserve">will allow for providers to offer an alternative and </w:t>
      </w:r>
      <w:r w:rsidR="00894DA8">
        <w:t xml:space="preserve">more </w:t>
      </w:r>
      <w:r>
        <w:t xml:space="preserve">minimally invasive treatment </w:t>
      </w:r>
      <w:r w:rsidR="00894DA8">
        <w:t xml:space="preserve">compared </w:t>
      </w:r>
      <w:r>
        <w:t>to rhinoplasty</w:t>
      </w:r>
      <w:r w:rsidR="00894DA8">
        <w:t>,</w:t>
      </w:r>
      <w:r>
        <w:t xml:space="preserve"> for some patients.</w:t>
      </w:r>
    </w:p>
    <w:p w14:paraId="270A9306" w14:textId="77777777" w:rsidR="001E1EF9" w:rsidRDefault="001E1EF9" w:rsidP="001E1EF9">
      <w:pPr>
        <w:rPr>
          <w:szCs w:val="22"/>
        </w:rPr>
      </w:pPr>
      <w:r w:rsidRPr="005329B8">
        <w:rPr>
          <w:szCs w:val="22"/>
        </w:rPr>
        <w:t>Providers will need to familiarise themselves with the descriptor changes set out below, and any associated rules and explanatory notes. Providers have a responsibility to ensure that any services they bill to Medicare fully meet the eligibility requirements outlined in the legislation. </w:t>
      </w:r>
    </w:p>
    <w:p w14:paraId="5BB71E1A" w14:textId="77777777" w:rsidR="001E1EF9" w:rsidRDefault="001E1EF9" w:rsidP="001E1EF9">
      <w:pPr>
        <w:pStyle w:val="Heading2"/>
      </w:pPr>
      <w:r>
        <w:t>How will these changes affect patients</w:t>
      </w:r>
      <w:r w:rsidRPr="001A7FB7">
        <w:t>?</w:t>
      </w:r>
    </w:p>
    <w:p w14:paraId="1B0AABE1" w14:textId="74716E8D" w:rsidR="001E1EF9" w:rsidRPr="006F5073" w:rsidRDefault="001E1EF9" w:rsidP="001E1EF9">
      <w:r w:rsidRPr="00D535C2">
        <w:rPr>
          <w:rFonts w:cs="Arial"/>
          <w:szCs w:val="22"/>
        </w:rPr>
        <w:t>Patients will receive Medicare benefits for otolaryngology</w:t>
      </w:r>
      <w:r w:rsidR="00D535C2">
        <w:rPr>
          <w:rFonts w:cs="Arial"/>
          <w:szCs w:val="22"/>
        </w:rPr>
        <w:t xml:space="preserve"> </w:t>
      </w:r>
      <w:r w:rsidRPr="00D535C2">
        <w:rPr>
          <w:rFonts w:cs="Arial"/>
          <w:szCs w:val="22"/>
        </w:rPr>
        <w:t>and diagnostic audiology services that are clinically appropriate and reflect modern clinical practice</w:t>
      </w:r>
      <w:r w:rsidRPr="001B0785">
        <w:rPr>
          <w:rFonts w:cs="Arial"/>
          <w:szCs w:val="22"/>
        </w:rPr>
        <w:t>.</w:t>
      </w:r>
    </w:p>
    <w:p w14:paraId="5BD9BE80" w14:textId="77777777" w:rsidR="00064168" w:rsidRDefault="00064168" w:rsidP="00064168">
      <w:pPr>
        <w:pStyle w:val="Heading2"/>
      </w:pPr>
      <w:r w:rsidRPr="001A7FB7">
        <w:t>Who was consulted on the changes?</w:t>
      </w:r>
    </w:p>
    <w:p w14:paraId="6640F218" w14:textId="4294FA74" w:rsidR="00506C4B" w:rsidRDefault="00506C4B" w:rsidP="00064168">
      <w:pPr>
        <w:rPr>
          <w:szCs w:val="22"/>
        </w:rPr>
      </w:pPr>
      <w:r w:rsidRPr="001B44C2">
        <w:rPr>
          <w:szCs w:val="22"/>
        </w:rPr>
        <w:t>The Otolaryngology</w:t>
      </w:r>
      <w:r>
        <w:rPr>
          <w:szCs w:val="22"/>
        </w:rPr>
        <w:t>, Head and Neck Surgery</w:t>
      </w:r>
      <w:r w:rsidRPr="001B44C2">
        <w:rPr>
          <w:szCs w:val="22"/>
        </w:rPr>
        <w:t xml:space="preserve"> ILG was </w:t>
      </w:r>
      <w:r>
        <w:rPr>
          <w:szCs w:val="22"/>
        </w:rPr>
        <w:t>established</w:t>
      </w:r>
      <w:r w:rsidRPr="001B44C2">
        <w:rPr>
          <w:szCs w:val="22"/>
        </w:rPr>
        <w:t xml:space="preserve"> in November 2020, which included representatives from the A</w:t>
      </w:r>
      <w:r>
        <w:rPr>
          <w:szCs w:val="22"/>
        </w:rPr>
        <w:t xml:space="preserve">ustralian </w:t>
      </w:r>
      <w:r w:rsidRPr="001B44C2">
        <w:rPr>
          <w:szCs w:val="22"/>
        </w:rPr>
        <w:t>M</w:t>
      </w:r>
      <w:r>
        <w:rPr>
          <w:szCs w:val="22"/>
        </w:rPr>
        <w:t xml:space="preserve">edical </w:t>
      </w:r>
      <w:r w:rsidRPr="001B44C2">
        <w:rPr>
          <w:szCs w:val="22"/>
        </w:rPr>
        <w:t>A</w:t>
      </w:r>
      <w:r>
        <w:rPr>
          <w:szCs w:val="22"/>
        </w:rPr>
        <w:t>ssociation</w:t>
      </w:r>
      <w:r w:rsidR="00FA5F9E">
        <w:rPr>
          <w:szCs w:val="22"/>
        </w:rPr>
        <w:t xml:space="preserve"> (AMA)</w:t>
      </w:r>
      <w:r w:rsidRPr="001B44C2">
        <w:rPr>
          <w:szCs w:val="22"/>
        </w:rPr>
        <w:t>, Australasian Society of Otolaryngology, Head and Neck Surgery</w:t>
      </w:r>
      <w:r w:rsidR="00FA5F9E">
        <w:rPr>
          <w:szCs w:val="22"/>
        </w:rPr>
        <w:t xml:space="preserve"> (AS</w:t>
      </w:r>
      <w:r w:rsidR="0085567E">
        <w:rPr>
          <w:szCs w:val="22"/>
        </w:rPr>
        <w:t>OHNS)</w:t>
      </w:r>
      <w:r w:rsidRPr="001B44C2">
        <w:rPr>
          <w:szCs w:val="22"/>
        </w:rPr>
        <w:t>, Laryngology Society of Australia, Audiology Australia, Independent Audiologists Australia and Private Healthcare Australia. </w:t>
      </w:r>
    </w:p>
    <w:p w14:paraId="7ADE080F" w14:textId="25235948" w:rsidR="00064168" w:rsidRDefault="00064168" w:rsidP="00064168">
      <w:pPr>
        <w:rPr>
          <w:szCs w:val="20"/>
          <w:lang w:eastAsia="en-AU"/>
        </w:rPr>
      </w:pPr>
      <w:r w:rsidRPr="00867595">
        <w:rPr>
          <w:szCs w:val="22"/>
        </w:rPr>
        <w:t xml:space="preserve">Following </w:t>
      </w:r>
      <w:r w:rsidR="00D616ED">
        <w:rPr>
          <w:szCs w:val="22"/>
        </w:rPr>
        <w:t xml:space="preserve">implementation of </w:t>
      </w:r>
      <w:r w:rsidRPr="00867595">
        <w:rPr>
          <w:szCs w:val="22"/>
        </w:rPr>
        <w:t xml:space="preserve">the MBS Review </w:t>
      </w:r>
      <w:r w:rsidR="00D616ED">
        <w:rPr>
          <w:szCs w:val="22"/>
        </w:rPr>
        <w:t xml:space="preserve">recommendations, </w:t>
      </w:r>
      <w:r w:rsidRPr="00867595">
        <w:rPr>
          <w:szCs w:val="22"/>
        </w:rPr>
        <w:t xml:space="preserve">ongoing consultation occurred with </w:t>
      </w:r>
      <w:r w:rsidR="00C37F3F" w:rsidRPr="00EB3BA6">
        <w:rPr>
          <w:szCs w:val="20"/>
          <w:lang w:eastAsia="en-AU"/>
        </w:rPr>
        <w:t xml:space="preserve">members of the </w:t>
      </w:r>
      <w:r w:rsidR="00F23E8E">
        <w:rPr>
          <w:szCs w:val="20"/>
          <w:lang w:eastAsia="en-AU"/>
        </w:rPr>
        <w:t xml:space="preserve">ILG, and the </w:t>
      </w:r>
      <w:r w:rsidR="00FD7672">
        <w:rPr>
          <w:szCs w:val="20"/>
          <w:lang w:eastAsia="en-AU"/>
        </w:rPr>
        <w:t xml:space="preserve">changes to MBS items </w:t>
      </w:r>
      <w:r w:rsidR="00FD7672">
        <w:rPr>
          <w:szCs w:val="22"/>
        </w:rPr>
        <w:t>11300, 11340, 11341 and 11343</w:t>
      </w:r>
      <w:r w:rsidR="00A13517">
        <w:rPr>
          <w:szCs w:val="22"/>
        </w:rPr>
        <w:t xml:space="preserve"> responds </w:t>
      </w:r>
      <w:r w:rsidR="00A13517" w:rsidRPr="00EB3BA6">
        <w:rPr>
          <w:szCs w:val="20"/>
          <w:lang w:eastAsia="en-AU"/>
        </w:rPr>
        <w:t xml:space="preserve">to </w:t>
      </w:r>
      <w:r w:rsidR="00F23E8E">
        <w:rPr>
          <w:szCs w:val="20"/>
          <w:lang w:eastAsia="en-AU"/>
        </w:rPr>
        <w:t>a</w:t>
      </w:r>
      <w:r w:rsidR="00A13517" w:rsidRPr="00EB3BA6">
        <w:rPr>
          <w:szCs w:val="20"/>
          <w:lang w:eastAsia="en-AU"/>
        </w:rPr>
        <w:t xml:space="preserve"> recommendation</w:t>
      </w:r>
      <w:r w:rsidR="00F23E8E">
        <w:rPr>
          <w:szCs w:val="20"/>
          <w:lang w:eastAsia="en-AU"/>
        </w:rPr>
        <w:t xml:space="preserve"> from </w:t>
      </w:r>
      <w:r w:rsidR="00B92F41">
        <w:rPr>
          <w:szCs w:val="20"/>
          <w:lang w:eastAsia="en-AU"/>
        </w:rPr>
        <w:t>members.</w:t>
      </w:r>
    </w:p>
    <w:p w14:paraId="6F988F43" w14:textId="5824F459" w:rsidR="00B92F41" w:rsidRPr="00867595" w:rsidRDefault="00864D39" w:rsidP="00064168">
      <w:pPr>
        <w:rPr>
          <w:szCs w:val="22"/>
        </w:rPr>
      </w:pPr>
      <w:r>
        <w:rPr>
          <w:szCs w:val="20"/>
          <w:lang w:eastAsia="en-AU"/>
        </w:rPr>
        <w:t>For new MBS items 41768 and 41769</w:t>
      </w:r>
      <w:r w:rsidR="00D616ED">
        <w:rPr>
          <w:szCs w:val="20"/>
          <w:lang w:eastAsia="en-AU"/>
        </w:rPr>
        <w:t>,</w:t>
      </w:r>
      <w:r>
        <w:rPr>
          <w:szCs w:val="20"/>
          <w:lang w:eastAsia="en-AU"/>
        </w:rPr>
        <w:t xml:space="preserve"> </w:t>
      </w:r>
      <w:r w:rsidR="00FA5F9E" w:rsidRPr="00FA5F9E">
        <w:rPr>
          <w:szCs w:val="20"/>
          <w:lang w:eastAsia="en-AU"/>
        </w:rPr>
        <w:t>consultation was undertaken with peak bodies such as the R</w:t>
      </w:r>
      <w:r w:rsidR="0085567E">
        <w:rPr>
          <w:szCs w:val="20"/>
          <w:lang w:eastAsia="en-AU"/>
        </w:rPr>
        <w:t xml:space="preserve">oyal </w:t>
      </w:r>
      <w:r w:rsidR="0085567E" w:rsidRPr="00FA5F9E">
        <w:rPr>
          <w:szCs w:val="20"/>
          <w:lang w:eastAsia="en-AU"/>
        </w:rPr>
        <w:t>A</w:t>
      </w:r>
      <w:r w:rsidR="0085567E">
        <w:rPr>
          <w:szCs w:val="20"/>
          <w:lang w:eastAsia="en-AU"/>
        </w:rPr>
        <w:t xml:space="preserve">ustralasian </w:t>
      </w:r>
      <w:r w:rsidR="00FA5F9E" w:rsidRPr="00FA5F9E">
        <w:rPr>
          <w:szCs w:val="20"/>
          <w:lang w:eastAsia="en-AU"/>
        </w:rPr>
        <w:t>C</w:t>
      </w:r>
      <w:r w:rsidR="0085567E">
        <w:rPr>
          <w:szCs w:val="20"/>
          <w:lang w:eastAsia="en-AU"/>
        </w:rPr>
        <w:t xml:space="preserve">ollege of </w:t>
      </w:r>
      <w:r w:rsidR="00FA5F9E" w:rsidRPr="00FA5F9E">
        <w:rPr>
          <w:szCs w:val="20"/>
          <w:lang w:eastAsia="en-AU"/>
        </w:rPr>
        <w:t>S</w:t>
      </w:r>
      <w:r w:rsidR="0085567E">
        <w:rPr>
          <w:szCs w:val="20"/>
          <w:lang w:eastAsia="en-AU"/>
        </w:rPr>
        <w:t>urgeons (RACS)</w:t>
      </w:r>
      <w:r w:rsidR="00FA5F9E" w:rsidRPr="00FA5F9E">
        <w:rPr>
          <w:szCs w:val="20"/>
          <w:lang w:eastAsia="en-AU"/>
        </w:rPr>
        <w:t>, AMA, ASOHNS and Australian Society of Plastic Surgeons (ASPS)</w:t>
      </w:r>
      <w:r w:rsidR="00AF3EA3">
        <w:rPr>
          <w:szCs w:val="20"/>
          <w:lang w:eastAsia="en-AU"/>
        </w:rPr>
        <w:t>,</w:t>
      </w:r>
      <w:r w:rsidR="009407AD">
        <w:rPr>
          <w:szCs w:val="20"/>
          <w:lang w:eastAsia="en-AU"/>
        </w:rPr>
        <w:t xml:space="preserve"> following the MSAC application process</w:t>
      </w:r>
      <w:r w:rsidR="00FA5F9E" w:rsidRPr="00FA5F9E">
        <w:rPr>
          <w:szCs w:val="20"/>
          <w:lang w:eastAsia="en-AU"/>
        </w:rPr>
        <w:t>.</w:t>
      </w:r>
    </w:p>
    <w:p w14:paraId="32E82B19" w14:textId="77777777" w:rsidR="00064168" w:rsidRDefault="00064168" w:rsidP="00064168">
      <w:pPr>
        <w:pStyle w:val="Heading2"/>
      </w:pPr>
      <w:r w:rsidRPr="001A7FB7">
        <w:t>How will the changes be monitored</w:t>
      </w:r>
      <w:r>
        <w:t xml:space="preserve"> and reviewed</w:t>
      </w:r>
      <w:r w:rsidRPr="001A7FB7">
        <w:t>?</w:t>
      </w:r>
    </w:p>
    <w:p w14:paraId="099DBC2C" w14:textId="0A1EFABA" w:rsidR="000D05B6" w:rsidRPr="001B44C2" w:rsidRDefault="000D05B6" w:rsidP="000D05B6">
      <w:pPr>
        <w:rPr>
          <w:szCs w:val="22"/>
        </w:rPr>
      </w:pPr>
      <w:r w:rsidRPr="000C5591">
        <w:rPr>
          <w:szCs w:val="22"/>
        </w:rPr>
        <w:t>Service use of amended otolaryngology</w:t>
      </w:r>
      <w:r w:rsidR="001360B7" w:rsidRPr="001360B7">
        <w:t xml:space="preserve"> </w:t>
      </w:r>
      <w:r w:rsidR="001360B7" w:rsidRPr="001360B7">
        <w:rPr>
          <w:szCs w:val="22"/>
        </w:rPr>
        <w:t>and diagnostic audiology</w:t>
      </w:r>
      <w:r w:rsidRPr="0060447E">
        <w:rPr>
          <w:szCs w:val="22"/>
        </w:rPr>
        <w:t xml:space="preserve"> </w:t>
      </w:r>
      <w:r w:rsidRPr="000C5591">
        <w:rPr>
          <w:szCs w:val="22"/>
        </w:rPr>
        <w:t>items will be monitored and reviewed post</w:t>
      </w:r>
      <w:r>
        <w:rPr>
          <w:szCs w:val="22"/>
        </w:rPr>
        <w:t>-</w:t>
      </w:r>
      <w:r w:rsidRPr="000C5591">
        <w:rPr>
          <w:szCs w:val="22"/>
        </w:rPr>
        <w:t>implementation.</w:t>
      </w:r>
      <w:r w:rsidRPr="001B44C2">
        <w:rPr>
          <w:szCs w:val="22"/>
        </w:rPr>
        <w:t>  </w:t>
      </w:r>
    </w:p>
    <w:p w14:paraId="03489165" w14:textId="2511F7B0" w:rsidR="000D05B6" w:rsidRPr="001B44C2" w:rsidRDefault="000D05B6" w:rsidP="000D05B6">
      <w:pPr>
        <w:rPr>
          <w:szCs w:val="22"/>
        </w:rPr>
      </w:pPr>
      <w:r w:rsidRPr="001B44C2">
        <w:rPr>
          <w:szCs w:val="22"/>
        </w:rPr>
        <w:t xml:space="preserve">All otolaryngology </w:t>
      </w:r>
      <w:r>
        <w:rPr>
          <w:szCs w:val="22"/>
        </w:rPr>
        <w:t xml:space="preserve">and </w:t>
      </w:r>
      <w:r w:rsidRPr="0060447E">
        <w:rPr>
          <w:szCs w:val="22"/>
        </w:rPr>
        <w:t xml:space="preserve">diagnostic audiology </w:t>
      </w:r>
      <w:r w:rsidRPr="001B44C2">
        <w:rPr>
          <w:szCs w:val="22"/>
        </w:rPr>
        <w:t>items will continue to be subject to MBS compliance processes and activities, including random and targeted audits which may require a provider to submit evidence about the services claimed.  </w:t>
      </w:r>
    </w:p>
    <w:p w14:paraId="11FE8604" w14:textId="77777777" w:rsidR="000D05B6" w:rsidRDefault="000D05B6" w:rsidP="000D05B6">
      <w:pPr>
        <w:rPr>
          <w:szCs w:val="22"/>
        </w:rPr>
      </w:pPr>
      <w:r w:rsidRPr="001B44C2">
        <w:rPr>
          <w:szCs w:val="22"/>
        </w:rPr>
        <w:t>Significant variation from forecasted expenditure may warrant review and amendment of fees, and incorrect use of MBS items can result in penalties including the health professional being asked to repay monies that have been incorrectly received. </w:t>
      </w:r>
    </w:p>
    <w:p w14:paraId="7DC9FEF2" w14:textId="2F6D5FE2" w:rsidR="00660F36" w:rsidRPr="00867595" w:rsidRDefault="00D16F9C" w:rsidP="000D05B6">
      <w:pPr>
        <w:rPr>
          <w:szCs w:val="22"/>
        </w:rPr>
      </w:pPr>
      <w:r>
        <w:rPr>
          <w:rFonts w:cs="Arial"/>
          <w:color w:val="000000"/>
          <w:szCs w:val="22"/>
        </w:rPr>
        <w:t xml:space="preserve">Providers are responsible for ensuring services claimed from Medicare using their provider number meet all legislative requirements. </w:t>
      </w:r>
      <w:r w:rsidR="00660F36">
        <w:rPr>
          <w:rFonts w:cs="Arial"/>
          <w:color w:val="000000"/>
          <w:szCs w:val="22"/>
        </w:rPr>
        <w:t>These changes are subject to MBS compliance checks and providers may be required to submit evidence about the services claimed</w:t>
      </w:r>
      <w:r>
        <w:rPr>
          <w:rFonts w:cs="Arial"/>
          <w:color w:val="000000"/>
          <w:szCs w:val="22"/>
        </w:rPr>
        <w:t>.</w:t>
      </w:r>
    </w:p>
    <w:p w14:paraId="3C63E237" w14:textId="77777777" w:rsidR="00064168" w:rsidRDefault="00064168" w:rsidP="00064168">
      <w:pPr>
        <w:pStyle w:val="Heading2"/>
      </w:pPr>
      <w:r>
        <w:lastRenderedPageBreak/>
        <w:t>Where can I find more information?</w:t>
      </w:r>
    </w:p>
    <w:p w14:paraId="5EEA2BAC" w14:textId="4C370AE6" w:rsidR="00064168" w:rsidRPr="00867595" w:rsidRDefault="00064168" w:rsidP="00064168">
      <w:pPr>
        <w:rPr>
          <w:szCs w:val="22"/>
        </w:rPr>
      </w:pPr>
      <w:r w:rsidRPr="00867595">
        <w:rPr>
          <w:szCs w:val="22"/>
        </w:rPr>
        <w:t xml:space="preserve">The full item descriptor(s) and information on other changes to the MBS can be found on the </w:t>
      </w:r>
      <w:hyperlink r:id="rId11"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hyperlink r:id="rId12" w:history="1">
        <w:r w:rsidR="00C02732" w:rsidRPr="00C02732">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9" w:history="1">
        <w:r w:rsidR="00C02732" w:rsidRPr="00C02732">
          <w:rPr>
            <w:rStyle w:val="Hyperlink"/>
            <w:szCs w:val="22"/>
          </w:rPr>
          <w:t>Downloads</w:t>
        </w:r>
      </w:hyperlink>
      <w:r w:rsidRPr="00867595">
        <w:rPr>
          <w:szCs w:val="22"/>
        </w:rPr>
        <w:t xml:space="preserve"> page.</w:t>
      </w:r>
    </w:p>
    <w:p w14:paraId="6D6EB19D" w14:textId="38DB10F5" w:rsidR="00BE3ED5" w:rsidRDefault="00AF3EA3" w:rsidP="00BE3ED5">
      <w:pPr>
        <w:pStyle w:val="Heading2"/>
      </w:pPr>
      <w:r>
        <w:t>A</w:t>
      </w:r>
      <w:r w:rsidR="00BE3ED5" w:rsidRPr="007A32E7">
        <w:t xml:space="preserve">mended item descriptors </w:t>
      </w:r>
      <w:r w:rsidR="00053849" w:rsidRPr="007A32E7">
        <w:t>(</w:t>
      </w:r>
      <w:r w:rsidR="00916EEE">
        <w:t>effective</w:t>
      </w:r>
      <w:r w:rsidR="00053849" w:rsidRPr="007A32E7">
        <w:t xml:space="preserve"> </w:t>
      </w:r>
      <w:r w:rsidR="00053849">
        <w:t>1 July 2024</w:t>
      </w:r>
      <w:r w:rsidR="00916EEE">
        <w:t>)</w:t>
      </w:r>
    </w:p>
    <w:p w14:paraId="43876750" w14:textId="77777777" w:rsidR="00B96E46" w:rsidRPr="00AC0D69" w:rsidRDefault="00B96E46" w:rsidP="00B96E46">
      <w:pPr>
        <w:spacing w:after="0"/>
        <w:rPr>
          <w:rFonts w:cs="Arial"/>
          <w:szCs w:val="22"/>
        </w:rPr>
      </w:pPr>
      <w:r w:rsidRPr="00AC0D69">
        <w:rPr>
          <w:rFonts w:cs="Arial"/>
          <w:szCs w:val="22"/>
        </w:rPr>
        <w:t xml:space="preserve">Note: </w:t>
      </w:r>
    </w:p>
    <w:p w14:paraId="3C935289" w14:textId="06BD839A" w:rsidR="00B96E46" w:rsidRPr="00AC0D69" w:rsidRDefault="00B96E46" w:rsidP="00B96E46">
      <w:pPr>
        <w:numPr>
          <w:ilvl w:val="0"/>
          <w:numId w:val="31"/>
        </w:numPr>
        <w:spacing w:before="0" w:after="160" w:line="259" w:lineRule="auto"/>
        <w:contextualSpacing/>
        <w:rPr>
          <w:rFonts w:eastAsiaTheme="minorHAnsi" w:cs="Arial"/>
          <w:color w:val="auto"/>
          <w:szCs w:val="22"/>
        </w:rPr>
      </w:pPr>
      <w:r w:rsidRPr="00AC0D69">
        <w:rPr>
          <w:rFonts w:eastAsiaTheme="minorHAnsi" w:cs="Arial"/>
          <w:color w:val="auto"/>
          <w:szCs w:val="22"/>
        </w:rPr>
        <w:t xml:space="preserve">All fees listed include indexation which will be applied 1 </w:t>
      </w:r>
      <w:r>
        <w:rPr>
          <w:rFonts w:eastAsiaTheme="minorHAnsi" w:cs="Arial"/>
          <w:color w:val="auto"/>
          <w:szCs w:val="22"/>
        </w:rPr>
        <w:t>July</w:t>
      </w:r>
      <w:r w:rsidRPr="00AC0D69">
        <w:rPr>
          <w:rFonts w:eastAsiaTheme="minorHAnsi" w:cs="Arial"/>
          <w:color w:val="auto"/>
          <w:szCs w:val="22"/>
        </w:rPr>
        <w:t xml:space="preserve"> 202</w:t>
      </w:r>
      <w:r>
        <w:rPr>
          <w:rFonts w:eastAsiaTheme="minorHAnsi" w:cs="Arial"/>
          <w:color w:val="auto"/>
          <w:szCs w:val="22"/>
        </w:rPr>
        <w:t>4</w:t>
      </w:r>
      <w:r w:rsidRPr="00AC0D69">
        <w:rPr>
          <w:rFonts w:eastAsiaTheme="minorHAnsi" w:cs="Arial"/>
          <w:color w:val="auto"/>
          <w:szCs w:val="22"/>
        </w:rPr>
        <w:t>.</w:t>
      </w:r>
    </w:p>
    <w:p w14:paraId="7AD22FE0" w14:textId="77777777" w:rsidR="00B96E46" w:rsidRPr="005C43E8" w:rsidRDefault="00B96E46" w:rsidP="00B96E46">
      <w:pPr>
        <w:numPr>
          <w:ilvl w:val="0"/>
          <w:numId w:val="31"/>
        </w:numPr>
        <w:spacing w:before="0" w:after="160" w:line="259" w:lineRule="auto"/>
        <w:contextualSpacing/>
        <w:rPr>
          <w:rFonts w:eastAsiaTheme="minorHAnsi" w:cs="Arial"/>
          <w:color w:val="auto"/>
          <w:szCs w:val="22"/>
        </w:rPr>
      </w:pPr>
      <w:r w:rsidRPr="00AC0D69">
        <w:rPr>
          <w:rFonts w:eastAsiaTheme="minorHAnsi" w:cs="Arial"/>
          <w:color w:val="auto"/>
          <w:szCs w:val="22"/>
        </w:rPr>
        <w:t>The Private Health Insurance Classifications for the amended items are subject to final delegate approval.</w:t>
      </w:r>
    </w:p>
    <w:p w14:paraId="00DD2CAB" w14:textId="77777777" w:rsidR="004334D2" w:rsidRPr="00B96E46" w:rsidRDefault="004334D2" w:rsidP="004C2A9B"/>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5960BC26" w:rsidR="00BE3ED5" w:rsidRDefault="008437CA" w:rsidP="000F29A4">
            <w:pPr>
              <w:rPr>
                <w:b w:val="0"/>
                <w:bCs w:val="0"/>
                <w:lang w:eastAsia="en-AU"/>
              </w:rPr>
            </w:pPr>
            <w:bookmarkStart w:id="4" w:name="_Hlk118987208"/>
            <w:r>
              <w:rPr>
                <w:lang w:eastAsia="en-AU"/>
              </w:rPr>
              <w:t>Category</w:t>
            </w:r>
            <w:r w:rsidR="008C4EBE" w:rsidRPr="008C4EBE">
              <w:rPr>
                <w:lang w:eastAsia="en-AU"/>
              </w:rPr>
              <w:t xml:space="preserve"> 2 – Diagnostic Procedures and Investigations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34A34962" w:rsidR="00BE3ED5" w:rsidRDefault="008437CA" w:rsidP="000F29A4">
            <w:pPr>
              <w:rPr>
                <w:b w:val="0"/>
                <w:bCs w:val="0"/>
                <w:lang w:eastAsia="en-AU"/>
              </w:rPr>
            </w:pPr>
            <w:r>
              <w:rPr>
                <w:lang w:eastAsia="en-AU"/>
              </w:rPr>
              <w:t>Group</w:t>
            </w:r>
            <w:r w:rsidR="00401DA2">
              <w:rPr>
                <w:lang w:eastAsia="en-AU"/>
              </w:rPr>
              <w:t xml:space="preserve"> </w:t>
            </w:r>
            <w:r w:rsidR="00401DA2" w:rsidRPr="00401DA2">
              <w:rPr>
                <w:lang w:eastAsia="en-AU"/>
              </w:rPr>
              <w:t>D1 – Miscellaneous Diagnostic Procedures and Investigations</w:t>
            </w:r>
          </w:p>
        </w:tc>
      </w:tr>
      <w:tr w:rsidR="00642F20" w14:paraId="3DDFF680" w14:textId="77777777" w:rsidTr="006E7D4F">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184491F7" w:rsidR="00642F20" w:rsidRPr="00642F20" w:rsidRDefault="00642F20" w:rsidP="00642F20">
            <w:pPr>
              <w:pStyle w:val="Tabletextleft"/>
              <w:rPr>
                <w:b/>
              </w:rPr>
            </w:pPr>
            <w:r w:rsidRPr="00642F20">
              <w:rPr>
                <w:b/>
              </w:rPr>
              <w:t>Subgroup</w:t>
            </w:r>
            <w:r w:rsidR="00401DA2">
              <w:rPr>
                <w:b/>
              </w:rPr>
              <w:t xml:space="preserve"> </w:t>
            </w:r>
            <w:r w:rsidR="00401DA2" w:rsidRPr="00401DA2">
              <w:rPr>
                <w:b/>
              </w:rPr>
              <w:t xml:space="preserve">3 </w:t>
            </w:r>
            <w:r w:rsidR="00401DA2">
              <w:rPr>
                <w:b/>
              </w:rPr>
              <w:t>–</w:t>
            </w:r>
            <w:r w:rsidR="00401DA2" w:rsidRPr="00401DA2">
              <w:rPr>
                <w:b/>
              </w:rPr>
              <w:t xml:space="preserve"> Otolaryngology</w:t>
            </w:r>
          </w:p>
        </w:tc>
      </w:tr>
      <w:tr w:rsidR="00642F20" w14:paraId="25FF7AAD" w14:textId="77777777" w:rsidTr="005E0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09A6808C" w:rsidR="00642F20" w:rsidRPr="00594C66" w:rsidRDefault="00080151" w:rsidP="00642F20">
            <w:pPr>
              <w:rPr>
                <w:b w:val="0"/>
                <w:bCs w:val="0"/>
              </w:rPr>
            </w:pPr>
            <w:r w:rsidRPr="00594C66">
              <w:rPr>
                <w:b w:val="0"/>
                <w:bCs w:val="0"/>
              </w:rPr>
              <w:t>11300</w:t>
            </w:r>
          </w:p>
          <w:p w14:paraId="47EE0961" w14:textId="3D57D169" w:rsidR="00C324F9" w:rsidRPr="004C2A9B" w:rsidRDefault="00E40E12" w:rsidP="00C324F9">
            <w:pPr>
              <w:pStyle w:val="TextBox"/>
              <w:tabs>
                <w:tab w:val="left" w:pos="5120"/>
              </w:tabs>
              <w:rPr>
                <w:b w:val="0"/>
              </w:rPr>
            </w:pPr>
            <w:r w:rsidRPr="00FB6D0E">
              <w:rPr>
                <w:b w:val="0"/>
              </w:rPr>
              <w:t>Brain stem evoked response audiometry</w:t>
            </w:r>
            <w:r w:rsidR="001360B7" w:rsidRPr="00FB6D0E">
              <w:rPr>
                <w:b w:val="0"/>
              </w:rPr>
              <w:t>,</w:t>
            </w:r>
            <w:r w:rsidRPr="00FB6D0E">
              <w:rPr>
                <w:b w:val="0"/>
              </w:rPr>
              <w:t xml:space="preserve"> if:</w:t>
            </w:r>
          </w:p>
          <w:p w14:paraId="5FD0B793" w14:textId="6D098501" w:rsidR="00C324F9" w:rsidRPr="004C2A9B" w:rsidRDefault="00E40E12" w:rsidP="00C324F9">
            <w:pPr>
              <w:pStyle w:val="TextBox"/>
              <w:tabs>
                <w:tab w:val="left" w:pos="5120"/>
              </w:tabs>
              <w:rPr>
                <w:b w:val="0"/>
              </w:rPr>
            </w:pPr>
            <w:r w:rsidRPr="00FB6D0E">
              <w:rPr>
                <w:b w:val="0"/>
              </w:rPr>
              <w:t>(a) the service is not for the purposes of programming either an auditory implant or the sound processor of an auditory implant; and</w:t>
            </w:r>
          </w:p>
          <w:p w14:paraId="5FFCAE0A" w14:textId="21406BBB" w:rsidR="00C324F9" w:rsidRPr="00FB6D0E" w:rsidRDefault="00E40E12" w:rsidP="00C324F9">
            <w:pPr>
              <w:pStyle w:val="TextBox"/>
              <w:tabs>
                <w:tab w:val="left" w:pos="5120"/>
              </w:tabs>
              <w:rPr>
                <w:b w:val="0"/>
              </w:rPr>
            </w:pPr>
            <w:r w:rsidRPr="00FB6D0E">
              <w:rPr>
                <w:b w:val="0"/>
              </w:rPr>
              <w:t>(b) a service to which item 82300 applies has not been performed on the patient on the same day</w:t>
            </w:r>
          </w:p>
          <w:p w14:paraId="11FAAD8A" w14:textId="29774772" w:rsidR="00E40E12" w:rsidRPr="00FB6D0E" w:rsidRDefault="00E40E12" w:rsidP="004C2A9B">
            <w:pPr>
              <w:pStyle w:val="TextBox"/>
              <w:tabs>
                <w:tab w:val="left" w:pos="5120"/>
              </w:tabs>
              <w:rPr>
                <w:strike/>
              </w:rPr>
            </w:pPr>
            <w:r w:rsidRPr="00FB6D0E">
              <w:rPr>
                <w:bCs/>
                <w:strike/>
              </w:rPr>
              <w:lastRenderedPageBreak/>
              <w:t xml:space="preserve">other than a service associated with a service to which item 11340, 11341 or 11343 </w:t>
            </w:r>
            <w:proofErr w:type="gramStart"/>
            <w:r w:rsidRPr="00FB6D0E">
              <w:rPr>
                <w:bCs/>
                <w:strike/>
              </w:rPr>
              <w:t>applies</w:t>
            </w:r>
            <w:proofErr w:type="gramEnd"/>
          </w:p>
          <w:p w14:paraId="0854C84B" w14:textId="58E04ADE" w:rsidR="00642F20" w:rsidRDefault="00E40E12">
            <w:pPr>
              <w:pStyle w:val="TextBox"/>
              <w:rPr>
                <w:bCs/>
              </w:rPr>
            </w:pPr>
            <w:r w:rsidRPr="00FB6D0E">
              <w:rPr>
                <w:b w:val="0"/>
              </w:rPr>
              <w:t>(</w:t>
            </w:r>
            <w:proofErr w:type="spellStart"/>
            <w:r w:rsidRPr="00FB6D0E">
              <w:rPr>
                <w:b w:val="0"/>
              </w:rPr>
              <w:t>Anaes</w:t>
            </w:r>
            <w:proofErr w:type="spellEnd"/>
            <w:r w:rsidRPr="00FB6D0E">
              <w:rPr>
                <w:b w:val="0"/>
              </w:rPr>
              <w:t>.)</w:t>
            </w:r>
          </w:p>
          <w:p w14:paraId="78A70515" w14:textId="487A5F1E" w:rsidR="00501DC1" w:rsidRPr="004C2A9B" w:rsidRDefault="00501DC1" w:rsidP="00501DC1">
            <w:pPr>
              <w:pStyle w:val="TextBox"/>
              <w:rPr>
                <w:b w:val="0"/>
              </w:rPr>
            </w:pPr>
            <w:r>
              <w:rPr>
                <w:b w:val="0"/>
              </w:rPr>
              <w:t>Fee:</w:t>
            </w:r>
            <w:r w:rsidRPr="00501DC1">
              <w:rPr>
                <w:b w:val="0"/>
              </w:rPr>
              <w:t xml:space="preserve"> $219.30 Benefit: 75% = $164.</w:t>
            </w:r>
            <w:proofErr w:type="gramStart"/>
            <w:r w:rsidRPr="00501DC1">
              <w:rPr>
                <w:b w:val="0"/>
              </w:rPr>
              <w:t>50  85</w:t>
            </w:r>
            <w:proofErr w:type="gramEnd"/>
            <w:r w:rsidRPr="00501DC1">
              <w:rPr>
                <w:b w:val="0"/>
              </w:rPr>
              <w:t>% = $186.45</w:t>
            </w:r>
          </w:p>
          <w:p w14:paraId="3794883D" w14:textId="77777777" w:rsidR="00642F20" w:rsidRPr="00FB6D0E" w:rsidRDefault="00642F20" w:rsidP="00A00375">
            <w:pPr>
              <w:pStyle w:val="ListBullet"/>
              <w:numPr>
                <w:ilvl w:val="0"/>
                <w:numId w:val="0"/>
              </w:numPr>
              <w:ind w:left="360" w:hanging="360"/>
              <w:rPr>
                <w:b w:val="0"/>
                <w:bCs w:val="0"/>
                <w:szCs w:val="24"/>
              </w:rPr>
            </w:pPr>
            <w:r w:rsidRPr="00FB6D0E">
              <w:rPr>
                <w:b w:val="0"/>
                <w:bCs w:val="0"/>
                <w:szCs w:val="24"/>
              </w:rPr>
              <w:t>Private Health Insurance Classification:</w:t>
            </w:r>
          </w:p>
          <w:p w14:paraId="583B5F54" w14:textId="2C66A3AE" w:rsidR="00642F20" w:rsidRPr="00FB6D0E" w:rsidRDefault="00642F20" w:rsidP="00642F20">
            <w:pPr>
              <w:pStyle w:val="ListBullet"/>
              <w:rPr>
                <w:b w:val="0"/>
                <w:bCs w:val="0"/>
                <w:szCs w:val="24"/>
              </w:rPr>
            </w:pPr>
            <w:r w:rsidRPr="00FB6D0E">
              <w:rPr>
                <w:b w:val="0"/>
                <w:bCs w:val="0"/>
                <w:szCs w:val="24"/>
              </w:rPr>
              <w:t xml:space="preserve">Clinical category: </w:t>
            </w:r>
            <w:r w:rsidR="0047722A" w:rsidRPr="00FB6D0E">
              <w:rPr>
                <w:b w:val="0"/>
                <w:bCs w:val="0"/>
                <w:szCs w:val="24"/>
              </w:rPr>
              <w:t>Ear, Nose and Throat</w:t>
            </w:r>
          </w:p>
          <w:p w14:paraId="2BDF063F" w14:textId="7BAD622A" w:rsidR="00642F20" w:rsidRPr="004C2A9B" w:rsidRDefault="00642F20" w:rsidP="00642F20">
            <w:pPr>
              <w:pStyle w:val="ListBullet"/>
              <w:rPr>
                <w:b w:val="0"/>
                <w:bCs w:val="0"/>
                <w:szCs w:val="24"/>
              </w:rPr>
            </w:pPr>
            <w:r w:rsidRPr="00FB6D0E">
              <w:rPr>
                <w:b w:val="0"/>
                <w:bCs w:val="0"/>
                <w:szCs w:val="24"/>
              </w:rPr>
              <w:t xml:space="preserve">Procedure type: Type </w:t>
            </w:r>
            <w:r w:rsidR="0047722A" w:rsidRPr="00FB6D0E">
              <w:rPr>
                <w:b w:val="0"/>
                <w:bCs w:val="0"/>
                <w:szCs w:val="24"/>
              </w:rPr>
              <w:t>C</w:t>
            </w:r>
          </w:p>
        </w:tc>
      </w:tr>
      <w:tr w:rsidR="00642F20" w14:paraId="398A0C81" w14:textId="77777777" w:rsidTr="00374732">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6E3EADEE" w:rsidR="00642F20" w:rsidRPr="00594C66" w:rsidRDefault="00C87D08" w:rsidP="00642F20">
            <w:pPr>
              <w:rPr>
                <w:b w:val="0"/>
                <w:bCs w:val="0"/>
              </w:rPr>
            </w:pPr>
            <w:r w:rsidRPr="00594C66">
              <w:rPr>
                <w:b w:val="0"/>
                <w:bCs w:val="0"/>
              </w:rPr>
              <w:lastRenderedPageBreak/>
              <w:t>11340</w:t>
            </w:r>
          </w:p>
          <w:p w14:paraId="04E67DBF" w14:textId="77777777" w:rsidR="008B4118" w:rsidRPr="004C2A9B" w:rsidRDefault="008B4118" w:rsidP="008B4118">
            <w:pPr>
              <w:rPr>
                <w:b w:val="0"/>
                <w:bCs w:val="0"/>
              </w:rPr>
            </w:pPr>
            <w:r w:rsidRPr="00FB6D0E">
              <w:rPr>
                <w:b w:val="0"/>
                <w:bCs w:val="0"/>
              </w:rPr>
              <w:t>Investigation of the vestibular function to assist in the diagnosis, treatment or management of a vestibular or related disorder, performed by or on behalf of a medical practitioner:</w:t>
            </w:r>
          </w:p>
          <w:p w14:paraId="1972B92B" w14:textId="77777777" w:rsidR="008B4118" w:rsidRPr="004C2A9B" w:rsidRDefault="008B4118" w:rsidP="008B4118">
            <w:pPr>
              <w:rPr>
                <w:b w:val="0"/>
                <w:bCs w:val="0"/>
              </w:rPr>
            </w:pPr>
            <w:r w:rsidRPr="00FB6D0E">
              <w:rPr>
                <w:b w:val="0"/>
                <w:bCs w:val="0"/>
              </w:rPr>
              <w:t>(a) to assess one or more of the following:</w:t>
            </w:r>
          </w:p>
          <w:p w14:paraId="6136639C" w14:textId="77777777" w:rsidR="008B4118" w:rsidRPr="004C2A9B" w:rsidRDefault="008B4118" w:rsidP="008B4118">
            <w:pPr>
              <w:rPr>
                <w:b w:val="0"/>
                <w:bCs w:val="0"/>
              </w:rPr>
            </w:pPr>
            <w:r w:rsidRPr="00FB6D0E">
              <w:rPr>
                <w:b w:val="0"/>
                <w:bCs w:val="0"/>
              </w:rPr>
              <w:t>(</w:t>
            </w:r>
            <w:proofErr w:type="spellStart"/>
            <w:r w:rsidRPr="00FB6D0E">
              <w:rPr>
                <w:b w:val="0"/>
                <w:bCs w:val="0"/>
              </w:rPr>
              <w:t>i</w:t>
            </w:r>
            <w:proofErr w:type="spellEnd"/>
            <w:r w:rsidRPr="00FB6D0E">
              <w:rPr>
                <w:b w:val="0"/>
                <w:bCs w:val="0"/>
              </w:rPr>
              <w:t>) the organs of the peripheral vestibular system (utricle, saccule, lateral, superior and posterior semicircular canals, and vestibular nerve</w:t>
            </w:r>
            <w:proofErr w:type="gramStart"/>
            <w:r w:rsidRPr="00FB6D0E">
              <w:rPr>
                <w:b w:val="0"/>
                <w:bCs w:val="0"/>
              </w:rPr>
              <w:t>);</w:t>
            </w:r>
            <w:proofErr w:type="gramEnd"/>
          </w:p>
          <w:p w14:paraId="7E985253" w14:textId="77777777" w:rsidR="008B4118" w:rsidRPr="004C2A9B" w:rsidRDefault="008B4118" w:rsidP="008B4118">
            <w:pPr>
              <w:rPr>
                <w:b w:val="0"/>
                <w:bCs w:val="0"/>
              </w:rPr>
            </w:pPr>
            <w:r w:rsidRPr="00FB6D0E">
              <w:rPr>
                <w:b w:val="0"/>
                <w:bCs w:val="0"/>
              </w:rPr>
              <w:t xml:space="preserve">(ii) muscular or eye movement responses elicited by vestibular </w:t>
            </w:r>
            <w:proofErr w:type="gramStart"/>
            <w:r w:rsidRPr="00FB6D0E">
              <w:rPr>
                <w:b w:val="0"/>
                <w:bCs w:val="0"/>
              </w:rPr>
              <w:t>stimulation;</w:t>
            </w:r>
            <w:proofErr w:type="gramEnd"/>
          </w:p>
          <w:p w14:paraId="349B479E" w14:textId="77777777" w:rsidR="008B4118" w:rsidRPr="004C2A9B" w:rsidRDefault="008B4118" w:rsidP="008B4118">
            <w:pPr>
              <w:rPr>
                <w:b w:val="0"/>
                <w:bCs w:val="0"/>
              </w:rPr>
            </w:pPr>
            <w:r w:rsidRPr="00FB6D0E">
              <w:rPr>
                <w:b w:val="0"/>
                <w:bCs w:val="0"/>
              </w:rPr>
              <w:t xml:space="preserve">(iii) static signs of vestibular </w:t>
            </w:r>
            <w:proofErr w:type="gramStart"/>
            <w:r w:rsidRPr="00FB6D0E">
              <w:rPr>
                <w:b w:val="0"/>
                <w:bCs w:val="0"/>
              </w:rPr>
              <w:t>dysfunction;</w:t>
            </w:r>
            <w:proofErr w:type="gramEnd"/>
          </w:p>
          <w:p w14:paraId="44174FD7" w14:textId="77777777" w:rsidR="008B4118" w:rsidRPr="004C2A9B" w:rsidRDefault="008B4118" w:rsidP="008B4118">
            <w:pPr>
              <w:rPr>
                <w:b w:val="0"/>
                <w:bCs w:val="0"/>
              </w:rPr>
            </w:pPr>
            <w:r w:rsidRPr="00FB6D0E">
              <w:rPr>
                <w:b w:val="0"/>
                <w:bCs w:val="0"/>
              </w:rPr>
              <w:t>(iv) the central ocular motor function; and</w:t>
            </w:r>
          </w:p>
          <w:p w14:paraId="4D5EC3F8" w14:textId="77777777" w:rsidR="008B4118" w:rsidRPr="004C2A9B" w:rsidRDefault="008B4118" w:rsidP="008B4118">
            <w:pPr>
              <w:rPr>
                <w:b w:val="0"/>
                <w:bCs w:val="0"/>
              </w:rPr>
            </w:pPr>
            <w:r w:rsidRPr="00FB6D0E">
              <w:rPr>
                <w:b w:val="0"/>
                <w:bCs w:val="0"/>
              </w:rPr>
              <w:t xml:space="preserve">(b) using up to 2 clinically recognised </w:t>
            </w:r>
            <w:proofErr w:type="gramStart"/>
            <w:r w:rsidRPr="00FB6D0E">
              <w:rPr>
                <w:b w:val="0"/>
                <w:bCs w:val="0"/>
              </w:rPr>
              <w:t>tests;</w:t>
            </w:r>
            <w:proofErr w:type="gramEnd"/>
          </w:p>
          <w:p w14:paraId="1BBB0698" w14:textId="4790EB44" w:rsidR="00642F20" w:rsidRDefault="008B4118" w:rsidP="008B4118">
            <w:r w:rsidRPr="00594C66">
              <w:rPr>
                <w:b w:val="0"/>
                <w:bCs w:val="0"/>
              </w:rPr>
              <w:t>other than a service associated with a service to which item 11015, 11021, 11024, 11027</w:t>
            </w:r>
            <w:r w:rsidRPr="00FB6D0E">
              <w:rPr>
                <w:strike/>
              </w:rPr>
              <w:t>,</w:t>
            </w:r>
            <w:r w:rsidRPr="00594C66">
              <w:rPr>
                <w:b w:val="0"/>
                <w:bCs w:val="0"/>
              </w:rPr>
              <w:t xml:space="preserve"> </w:t>
            </w:r>
            <w:r w:rsidRPr="00FB6D0E">
              <w:t>or</w:t>
            </w:r>
            <w:r w:rsidRPr="00594C66">
              <w:rPr>
                <w:b w:val="0"/>
                <w:bCs w:val="0"/>
              </w:rPr>
              <w:t xml:space="preserve"> 11205 </w:t>
            </w:r>
            <w:r w:rsidRPr="00FB6D0E">
              <w:rPr>
                <w:strike/>
              </w:rPr>
              <w:t>or 11300</w:t>
            </w:r>
            <w:r w:rsidRPr="004C2A9B">
              <w:t xml:space="preserve"> </w:t>
            </w:r>
            <w:proofErr w:type="gramStart"/>
            <w:r w:rsidRPr="00594C66">
              <w:rPr>
                <w:b w:val="0"/>
                <w:bCs w:val="0"/>
              </w:rPr>
              <w:t>applies</w:t>
            </w:r>
            <w:proofErr w:type="gramEnd"/>
          </w:p>
          <w:p w14:paraId="0F432CA3" w14:textId="240A84E9" w:rsidR="00501DC1" w:rsidRPr="004C2A9B" w:rsidRDefault="00501DC1" w:rsidP="008B4118">
            <w:pPr>
              <w:rPr>
                <w:b w:val="0"/>
                <w:bCs w:val="0"/>
              </w:rPr>
            </w:pPr>
            <w:r>
              <w:rPr>
                <w:b w:val="0"/>
                <w:bCs w:val="0"/>
              </w:rPr>
              <w:t xml:space="preserve">Fee: </w:t>
            </w:r>
            <w:r w:rsidRPr="00501DC1">
              <w:rPr>
                <w:b w:val="0"/>
                <w:bCs w:val="0"/>
              </w:rPr>
              <w:t>$212.05 Benefit: 75% = $159.</w:t>
            </w:r>
            <w:proofErr w:type="gramStart"/>
            <w:r w:rsidRPr="00501DC1">
              <w:rPr>
                <w:b w:val="0"/>
                <w:bCs w:val="0"/>
              </w:rPr>
              <w:t>05  85</w:t>
            </w:r>
            <w:proofErr w:type="gramEnd"/>
            <w:r w:rsidRPr="00501DC1">
              <w:rPr>
                <w:b w:val="0"/>
                <w:bCs w:val="0"/>
              </w:rPr>
              <w:t>% = $180.25</w:t>
            </w:r>
          </w:p>
          <w:p w14:paraId="70F8A429" w14:textId="77777777" w:rsidR="00642F20" w:rsidRPr="00FB6D0E" w:rsidRDefault="00642F20" w:rsidP="00A00375">
            <w:pPr>
              <w:pStyle w:val="ListBullet"/>
              <w:numPr>
                <w:ilvl w:val="0"/>
                <w:numId w:val="0"/>
              </w:numPr>
              <w:ind w:left="360" w:hanging="360"/>
              <w:rPr>
                <w:b w:val="0"/>
                <w:bCs w:val="0"/>
                <w:szCs w:val="24"/>
              </w:rPr>
            </w:pPr>
            <w:r w:rsidRPr="00FB6D0E">
              <w:rPr>
                <w:b w:val="0"/>
                <w:bCs w:val="0"/>
                <w:szCs w:val="24"/>
              </w:rPr>
              <w:t>Private Health Insurance Classification:</w:t>
            </w:r>
          </w:p>
          <w:p w14:paraId="14C0195D" w14:textId="50B86EDB" w:rsidR="00642F20" w:rsidRPr="00FB6D0E" w:rsidRDefault="00642F20" w:rsidP="00642F20">
            <w:pPr>
              <w:pStyle w:val="ListBullet"/>
              <w:rPr>
                <w:b w:val="0"/>
                <w:bCs w:val="0"/>
                <w:szCs w:val="24"/>
              </w:rPr>
            </w:pPr>
            <w:r w:rsidRPr="00FB6D0E">
              <w:rPr>
                <w:b w:val="0"/>
                <w:bCs w:val="0"/>
                <w:szCs w:val="24"/>
              </w:rPr>
              <w:t xml:space="preserve">Clinical category: </w:t>
            </w:r>
            <w:r w:rsidR="00B57E7F" w:rsidRPr="00FB6D0E">
              <w:rPr>
                <w:b w:val="0"/>
                <w:bCs w:val="0"/>
                <w:szCs w:val="24"/>
              </w:rPr>
              <w:t>Support List</w:t>
            </w:r>
          </w:p>
          <w:p w14:paraId="2F786A12" w14:textId="4CE7822E" w:rsidR="00642F20" w:rsidRPr="004C2A9B" w:rsidRDefault="00642F20" w:rsidP="00642F20">
            <w:pPr>
              <w:pStyle w:val="ListBullet"/>
              <w:rPr>
                <w:b w:val="0"/>
                <w:bCs w:val="0"/>
                <w:szCs w:val="24"/>
              </w:rPr>
            </w:pPr>
            <w:r w:rsidRPr="00FB6D0E">
              <w:rPr>
                <w:b w:val="0"/>
                <w:bCs w:val="0"/>
                <w:szCs w:val="24"/>
              </w:rPr>
              <w:t xml:space="preserve">Procedure type: Type </w:t>
            </w:r>
            <w:r w:rsidR="00B57E7F" w:rsidRPr="00FB6D0E">
              <w:rPr>
                <w:b w:val="0"/>
                <w:bCs w:val="0"/>
                <w:szCs w:val="24"/>
              </w:rPr>
              <w:t>C</w:t>
            </w:r>
          </w:p>
        </w:tc>
      </w:tr>
      <w:tr w:rsidR="00D7361C" w14:paraId="1D728024"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A220BC6" w14:textId="12DA8DB5" w:rsidR="00D7361C" w:rsidRPr="00594C66" w:rsidRDefault="00D7361C" w:rsidP="00D7361C">
            <w:pPr>
              <w:rPr>
                <w:b w:val="0"/>
                <w:bCs w:val="0"/>
              </w:rPr>
            </w:pPr>
            <w:r w:rsidRPr="00594C66">
              <w:rPr>
                <w:b w:val="0"/>
                <w:bCs w:val="0"/>
              </w:rPr>
              <w:t>113</w:t>
            </w:r>
            <w:r w:rsidR="0074405E" w:rsidRPr="00594C66">
              <w:rPr>
                <w:b w:val="0"/>
                <w:bCs w:val="0"/>
              </w:rPr>
              <w:t>41</w:t>
            </w:r>
          </w:p>
          <w:p w14:paraId="0172676D" w14:textId="77777777" w:rsidR="00574CD1" w:rsidRPr="004C2A9B" w:rsidRDefault="00574CD1" w:rsidP="00574CD1">
            <w:pPr>
              <w:rPr>
                <w:b w:val="0"/>
                <w:bCs w:val="0"/>
              </w:rPr>
            </w:pPr>
            <w:r w:rsidRPr="00537F38">
              <w:rPr>
                <w:b w:val="0"/>
                <w:bCs w:val="0"/>
              </w:rPr>
              <w:t>Investigation of the vestibular function to assist in the diagnosis, treatment or management of a vestibular or related disorder, performed by or on behalf of a medical practitioner:</w:t>
            </w:r>
          </w:p>
          <w:p w14:paraId="1CF6792C" w14:textId="77777777" w:rsidR="00574CD1" w:rsidRPr="004C2A9B" w:rsidRDefault="00574CD1" w:rsidP="00574CD1">
            <w:pPr>
              <w:rPr>
                <w:b w:val="0"/>
                <w:bCs w:val="0"/>
              </w:rPr>
            </w:pPr>
            <w:r w:rsidRPr="00537F38">
              <w:rPr>
                <w:b w:val="0"/>
                <w:bCs w:val="0"/>
              </w:rPr>
              <w:t>(a) to assess one or more of the following:</w:t>
            </w:r>
          </w:p>
          <w:p w14:paraId="369345C8" w14:textId="77777777" w:rsidR="00574CD1" w:rsidRPr="004C2A9B" w:rsidRDefault="00574CD1" w:rsidP="00574CD1">
            <w:pPr>
              <w:rPr>
                <w:b w:val="0"/>
                <w:bCs w:val="0"/>
              </w:rPr>
            </w:pPr>
            <w:r w:rsidRPr="00537F38">
              <w:rPr>
                <w:b w:val="0"/>
                <w:bCs w:val="0"/>
              </w:rPr>
              <w:t>(</w:t>
            </w:r>
            <w:proofErr w:type="spellStart"/>
            <w:r w:rsidRPr="00537F38">
              <w:rPr>
                <w:b w:val="0"/>
                <w:bCs w:val="0"/>
              </w:rPr>
              <w:t>i</w:t>
            </w:r>
            <w:proofErr w:type="spellEnd"/>
            <w:r w:rsidRPr="00537F38">
              <w:rPr>
                <w:b w:val="0"/>
                <w:bCs w:val="0"/>
              </w:rPr>
              <w:t>) the organs of the peripheral vestibular system (utricle, saccule, lateral, superior and posterior semicircular canals, and vestibular nerve</w:t>
            </w:r>
            <w:proofErr w:type="gramStart"/>
            <w:r w:rsidRPr="00537F38">
              <w:rPr>
                <w:b w:val="0"/>
                <w:bCs w:val="0"/>
              </w:rPr>
              <w:t>);</w:t>
            </w:r>
            <w:proofErr w:type="gramEnd"/>
          </w:p>
          <w:p w14:paraId="4AE8E2DC" w14:textId="77777777" w:rsidR="00574CD1" w:rsidRPr="004C2A9B" w:rsidRDefault="00574CD1" w:rsidP="00574CD1">
            <w:pPr>
              <w:rPr>
                <w:b w:val="0"/>
                <w:bCs w:val="0"/>
              </w:rPr>
            </w:pPr>
            <w:r w:rsidRPr="00537F38">
              <w:rPr>
                <w:b w:val="0"/>
                <w:bCs w:val="0"/>
              </w:rPr>
              <w:t xml:space="preserve">(ii) muscular or eye movement responses elicited by vestibular </w:t>
            </w:r>
            <w:proofErr w:type="gramStart"/>
            <w:r w:rsidRPr="00537F38">
              <w:rPr>
                <w:b w:val="0"/>
                <w:bCs w:val="0"/>
              </w:rPr>
              <w:t>stimulation;</w:t>
            </w:r>
            <w:proofErr w:type="gramEnd"/>
          </w:p>
          <w:p w14:paraId="6353E1F2" w14:textId="77777777" w:rsidR="00574CD1" w:rsidRPr="004C2A9B" w:rsidRDefault="00574CD1" w:rsidP="00574CD1">
            <w:pPr>
              <w:rPr>
                <w:b w:val="0"/>
                <w:bCs w:val="0"/>
              </w:rPr>
            </w:pPr>
            <w:r w:rsidRPr="00537F38">
              <w:rPr>
                <w:b w:val="0"/>
                <w:bCs w:val="0"/>
              </w:rPr>
              <w:t xml:space="preserve">(iii) static signs of vestibular </w:t>
            </w:r>
            <w:proofErr w:type="gramStart"/>
            <w:r w:rsidRPr="00537F38">
              <w:rPr>
                <w:b w:val="0"/>
                <w:bCs w:val="0"/>
              </w:rPr>
              <w:t>dysfunction;</w:t>
            </w:r>
            <w:proofErr w:type="gramEnd"/>
          </w:p>
          <w:p w14:paraId="240FDA75" w14:textId="77777777" w:rsidR="00574CD1" w:rsidRPr="004C2A9B" w:rsidRDefault="00574CD1" w:rsidP="00574CD1">
            <w:pPr>
              <w:rPr>
                <w:b w:val="0"/>
                <w:bCs w:val="0"/>
              </w:rPr>
            </w:pPr>
            <w:r w:rsidRPr="00537F38">
              <w:rPr>
                <w:b w:val="0"/>
                <w:bCs w:val="0"/>
              </w:rPr>
              <w:t>(iv) the central ocular motor function; and</w:t>
            </w:r>
          </w:p>
          <w:p w14:paraId="0F3C704E" w14:textId="77777777" w:rsidR="00574CD1" w:rsidRPr="004C2A9B" w:rsidRDefault="00574CD1" w:rsidP="00574CD1">
            <w:pPr>
              <w:rPr>
                <w:b w:val="0"/>
                <w:bCs w:val="0"/>
              </w:rPr>
            </w:pPr>
            <w:r w:rsidRPr="00537F38">
              <w:rPr>
                <w:b w:val="0"/>
                <w:bCs w:val="0"/>
              </w:rPr>
              <w:t xml:space="preserve">(b) using 3 or 4 clinically recognised </w:t>
            </w:r>
            <w:proofErr w:type="gramStart"/>
            <w:r w:rsidRPr="00537F38">
              <w:rPr>
                <w:b w:val="0"/>
                <w:bCs w:val="0"/>
              </w:rPr>
              <w:t>tests;</w:t>
            </w:r>
            <w:proofErr w:type="gramEnd"/>
          </w:p>
          <w:p w14:paraId="55ED7292" w14:textId="77777777" w:rsidR="00FB6D0E" w:rsidRDefault="00FB6D0E" w:rsidP="00FB6D0E">
            <w:r w:rsidRPr="00594C66">
              <w:rPr>
                <w:b w:val="0"/>
                <w:bCs w:val="0"/>
              </w:rPr>
              <w:lastRenderedPageBreak/>
              <w:t>other than a service associated with a service to which item 11015, 11021, 11024, 11027</w:t>
            </w:r>
            <w:r w:rsidRPr="00FB6D0E">
              <w:rPr>
                <w:strike/>
              </w:rPr>
              <w:t>,</w:t>
            </w:r>
            <w:r w:rsidRPr="00594C66">
              <w:rPr>
                <w:b w:val="0"/>
                <w:bCs w:val="0"/>
              </w:rPr>
              <w:t xml:space="preserve"> </w:t>
            </w:r>
            <w:r w:rsidRPr="00FB6D0E">
              <w:t>or</w:t>
            </w:r>
            <w:r w:rsidRPr="00594C66">
              <w:rPr>
                <w:b w:val="0"/>
                <w:bCs w:val="0"/>
              </w:rPr>
              <w:t xml:space="preserve"> 11205 </w:t>
            </w:r>
            <w:r w:rsidRPr="00FB6D0E">
              <w:rPr>
                <w:strike/>
              </w:rPr>
              <w:t>or 11300</w:t>
            </w:r>
            <w:r w:rsidRPr="004C2A9B">
              <w:t xml:space="preserve"> </w:t>
            </w:r>
            <w:proofErr w:type="gramStart"/>
            <w:r w:rsidRPr="00594C66">
              <w:rPr>
                <w:b w:val="0"/>
                <w:bCs w:val="0"/>
              </w:rPr>
              <w:t>applies</w:t>
            </w:r>
            <w:proofErr w:type="gramEnd"/>
          </w:p>
          <w:p w14:paraId="69EF85E4" w14:textId="55098CD4" w:rsidR="00D93735" w:rsidRPr="004C2A9B" w:rsidRDefault="00D93735" w:rsidP="00FB6D0E">
            <w:pPr>
              <w:rPr>
                <w:b w:val="0"/>
                <w:bCs w:val="0"/>
              </w:rPr>
            </w:pPr>
            <w:r>
              <w:rPr>
                <w:b w:val="0"/>
                <w:bCs w:val="0"/>
              </w:rPr>
              <w:t>Fee: $</w:t>
            </w:r>
            <w:r w:rsidR="00981622" w:rsidRPr="00981622">
              <w:rPr>
                <w:b w:val="0"/>
                <w:bCs w:val="0"/>
              </w:rPr>
              <w:t>425.15 Benefit: 75% = $.318.</w:t>
            </w:r>
            <w:proofErr w:type="gramStart"/>
            <w:r w:rsidR="00981622" w:rsidRPr="00981622">
              <w:rPr>
                <w:b w:val="0"/>
                <w:bCs w:val="0"/>
              </w:rPr>
              <w:t>90  85</w:t>
            </w:r>
            <w:proofErr w:type="gramEnd"/>
            <w:r w:rsidR="00981622" w:rsidRPr="00981622">
              <w:rPr>
                <w:b w:val="0"/>
                <w:bCs w:val="0"/>
              </w:rPr>
              <w:t>% = $361.40</w:t>
            </w:r>
          </w:p>
          <w:p w14:paraId="2028E7A3" w14:textId="77777777" w:rsidR="00D7361C" w:rsidRPr="00537F38" w:rsidRDefault="00D7361C" w:rsidP="00A00375">
            <w:pPr>
              <w:pStyle w:val="ListBullet"/>
              <w:numPr>
                <w:ilvl w:val="0"/>
                <w:numId w:val="0"/>
              </w:numPr>
              <w:ind w:left="360" w:hanging="360"/>
              <w:rPr>
                <w:b w:val="0"/>
                <w:bCs w:val="0"/>
                <w:szCs w:val="24"/>
              </w:rPr>
            </w:pPr>
            <w:r w:rsidRPr="00537F38">
              <w:rPr>
                <w:b w:val="0"/>
                <w:bCs w:val="0"/>
                <w:szCs w:val="24"/>
              </w:rPr>
              <w:t>Private Health Insurance Classification:</w:t>
            </w:r>
          </w:p>
          <w:p w14:paraId="682386C8" w14:textId="28BFDC3A" w:rsidR="00D7361C" w:rsidRPr="00537F38" w:rsidRDefault="00D7361C" w:rsidP="00D7361C">
            <w:pPr>
              <w:pStyle w:val="ListBullet"/>
              <w:rPr>
                <w:b w:val="0"/>
                <w:bCs w:val="0"/>
                <w:szCs w:val="24"/>
              </w:rPr>
            </w:pPr>
            <w:r w:rsidRPr="00537F38">
              <w:rPr>
                <w:b w:val="0"/>
                <w:bCs w:val="0"/>
                <w:szCs w:val="24"/>
              </w:rPr>
              <w:t xml:space="preserve">Clinical category: </w:t>
            </w:r>
            <w:r w:rsidR="00B57E7F" w:rsidRPr="00537F38">
              <w:rPr>
                <w:b w:val="0"/>
                <w:bCs w:val="0"/>
                <w:szCs w:val="24"/>
              </w:rPr>
              <w:t>Support List</w:t>
            </w:r>
          </w:p>
          <w:p w14:paraId="17A48441" w14:textId="6902432E" w:rsidR="00D7361C" w:rsidRPr="00537F38" w:rsidRDefault="00D7361C" w:rsidP="00D7361C">
            <w:pPr>
              <w:pStyle w:val="ListBullet"/>
              <w:rPr>
                <w:b w:val="0"/>
                <w:bCs w:val="0"/>
                <w:szCs w:val="24"/>
              </w:rPr>
            </w:pPr>
            <w:r w:rsidRPr="00537F38">
              <w:rPr>
                <w:b w:val="0"/>
                <w:bCs w:val="0"/>
                <w:szCs w:val="24"/>
              </w:rPr>
              <w:t xml:space="preserve">Procedure type: Type </w:t>
            </w:r>
            <w:r w:rsidR="00B57E7F" w:rsidRPr="00537F38">
              <w:rPr>
                <w:b w:val="0"/>
                <w:bCs w:val="0"/>
                <w:szCs w:val="24"/>
              </w:rPr>
              <w:t>C</w:t>
            </w:r>
          </w:p>
        </w:tc>
      </w:tr>
      <w:tr w:rsidR="00D7361C" w14:paraId="49BC3976" w14:textId="77777777" w:rsidTr="00374732">
        <w:tc>
          <w:tcPr>
            <w:cnfStyle w:val="001000000000" w:firstRow="0" w:lastRow="0" w:firstColumn="1" w:lastColumn="0" w:oddVBand="0" w:evenVBand="0" w:oddHBand="0" w:evenHBand="0" w:firstRowFirstColumn="0" w:firstRowLastColumn="0" w:lastRowFirstColumn="0" w:lastRowLastColumn="0"/>
            <w:tcW w:w="9060" w:type="dxa"/>
          </w:tcPr>
          <w:p w14:paraId="1DB4C82C" w14:textId="26DBE69E" w:rsidR="00D7361C" w:rsidRPr="00594C66" w:rsidRDefault="00D7361C" w:rsidP="00D7361C">
            <w:pPr>
              <w:rPr>
                <w:b w:val="0"/>
                <w:bCs w:val="0"/>
              </w:rPr>
            </w:pPr>
            <w:r w:rsidRPr="00594C66">
              <w:rPr>
                <w:b w:val="0"/>
                <w:bCs w:val="0"/>
              </w:rPr>
              <w:lastRenderedPageBreak/>
              <w:t>113</w:t>
            </w:r>
            <w:r w:rsidR="0074405E" w:rsidRPr="00594C66">
              <w:rPr>
                <w:b w:val="0"/>
                <w:bCs w:val="0"/>
              </w:rPr>
              <w:t>43</w:t>
            </w:r>
          </w:p>
          <w:p w14:paraId="0BDC307F" w14:textId="77777777" w:rsidR="009D7A12" w:rsidRPr="004C2A9B" w:rsidRDefault="009D7A12" w:rsidP="009D7A12">
            <w:pPr>
              <w:rPr>
                <w:b w:val="0"/>
                <w:bCs w:val="0"/>
              </w:rPr>
            </w:pPr>
            <w:r w:rsidRPr="00FB6D0E">
              <w:rPr>
                <w:b w:val="0"/>
                <w:bCs w:val="0"/>
              </w:rPr>
              <w:t>Investigation of the vestibular function to assist in the diagnosis, treatment or management of a vestibular or related disorder, performed by or on behalf of a medical practitioner:</w:t>
            </w:r>
          </w:p>
          <w:p w14:paraId="193D20AD" w14:textId="77777777" w:rsidR="009D7A12" w:rsidRPr="004C2A9B" w:rsidRDefault="009D7A12" w:rsidP="009D7A12">
            <w:pPr>
              <w:rPr>
                <w:b w:val="0"/>
                <w:bCs w:val="0"/>
              </w:rPr>
            </w:pPr>
            <w:r w:rsidRPr="00FB6D0E">
              <w:rPr>
                <w:b w:val="0"/>
                <w:bCs w:val="0"/>
              </w:rPr>
              <w:t>(a) to assess one or more of the following:</w:t>
            </w:r>
          </w:p>
          <w:p w14:paraId="591B4A96" w14:textId="77777777" w:rsidR="009D7A12" w:rsidRPr="004C2A9B" w:rsidRDefault="009D7A12" w:rsidP="009D7A12">
            <w:pPr>
              <w:rPr>
                <w:b w:val="0"/>
                <w:bCs w:val="0"/>
              </w:rPr>
            </w:pPr>
            <w:r w:rsidRPr="00FB6D0E">
              <w:rPr>
                <w:b w:val="0"/>
                <w:bCs w:val="0"/>
              </w:rPr>
              <w:t>(</w:t>
            </w:r>
            <w:proofErr w:type="spellStart"/>
            <w:r w:rsidRPr="00FB6D0E">
              <w:rPr>
                <w:b w:val="0"/>
                <w:bCs w:val="0"/>
              </w:rPr>
              <w:t>i</w:t>
            </w:r>
            <w:proofErr w:type="spellEnd"/>
            <w:r w:rsidRPr="00FB6D0E">
              <w:rPr>
                <w:b w:val="0"/>
                <w:bCs w:val="0"/>
              </w:rPr>
              <w:t>) the organs of the peripheral vestibular system (utricle, saccule, lateral, superior and posterior semicircular canals, and vestibular nerve</w:t>
            </w:r>
            <w:proofErr w:type="gramStart"/>
            <w:r w:rsidRPr="00FB6D0E">
              <w:rPr>
                <w:b w:val="0"/>
                <w:bCs w:val="0"/>
              </w:rPr>
              <w:t>);</w:t>
            </w:r>
            <w:proofErr w:type="gramEnd"/>
          </w:p>
          <w:p w14:paraId="0709501C" w14:textId="77777777" w:rsidR="009D7A12" w:rsidRPr="004C2A9B" w:rsidRDefault="009D7A12" w:rsidP="009D7A12">
            <w:pPr>
              <w:rPr>
                <w:b w:val="0"/>
                <w:bCs w:val="0"/>
              </w:rPr>
            </w:pPr>
            <w:r w:rsidRPr="00FB6D0E">
              <w:rPr>
                <w:b w:val="0"/>
                <w:bCs w:val="0"/>
              </w:rPr>
              <w:t xml:space="preserve">(ii) muscular or eye movement responses elicited by vestibular </w:t>
            </w:r>
            <w:proofErr w:type="gramStart"/>
            <w:r w:rsidRPr="00FB6D0E">
              <w:rPr>
                <w:b w:val="0"/>
                <w:bCs w:val="0"/>
              </w:rPr>
              <w:t>stimulation;</w:t>
            </w:r>
            <w:proofErr w:type="gramEnd"/>
          </w:p>
          <w:p w14:paraId="0B530011" w14:textId="77777777" w:rsidR="009D7A12" w:rsidRPr="004C2A9B" w:rsidRDefault="009D7A12" w:rsidP="009D7A12">
            <w:pPr>
              <w:rPr>
                <w:b w:val="0"/>
                <w:bCs w:val="0"/>
              </w:rPr>
            </w:pPr>
            <w:r w:rsidRPr="00FB6D0E">
              <w:rPr>
                <w:b w:val="0"/>
                <w:bCs w:val="0"/>
              </w:rPr>
              <w:t xml:space="preserve">(iii) static signs of vestibular </w:t>
            </w:r>
            <w:proofErr w:type="gramStart"/>
            <w:r w:rsidRPr="00FB6D0E">
              <w:rPr>
                <w:b w:val="0"/>
                <w:bCs w:val="0"/>
              </w:rPr>
              <w:t>dysfunction;</w:t>
            </w:r>
            <w:proofErr w:type="gramEnd"/>
          </w:p>
          <w:p w14:paraId="0A364101" w14:textId="77777777" w:rsidR="009D7A12" w:rsidRPr="004C2A9B" w:rsidRDefault="009D7A12" w:rsidP="009D7A12">
            <w:pPr>
              <w:rPr>
                <w:b w:val="0"/>
                <w:bCs w:val="0"/>
              </w:rPr>
            </w:pPr>
            <w:r w:rsidRPr="00FB6D0E">
              <w:rPr>
                <w:b w:val="0"/>
                <w:bCs w:val="0"/>
              </w:rPr>
              <w:t>(iv) the central ocular motor function; and</w:t>
            </w:r>
          </w:p>
          <w:p w14:paraId="5E687903" w14:textId="77777777" w:rsidR="009D7A12" w:rsidRPr="004C2A9B" w:rsidRDefault="009D7A12" w:rsidP="009D7A12">
            <w:pPr>
              <w:rPr>
                <w:b w:val="0"/>
                <w:bCs w:val="0"/>
              </w:rPr>
            </w:pPr>
            <w:r w:rsidRPr="00FB6D0E">
              <w:rPr>
                <w:b w:val="0"/>
                <w:bCs w:val="0"/>
              </w:rPr>
              <w:t xml:space="preserve">(b) using 5 or more clinically recognised </w:t>
            </w:r>
            <w:proofErr w:type="gramStart"/>
            <w:r w:rsidRPr="00FB6D0E">
              <w:rPr>
                <w:b w:val="0"/>
                <w:bCs w:val="0"/>
              </w:rPr>
              <w:t>tests;</w:t>
            </w:r>
            <w:proofErr w:type="gramEnd"/>
          </w:p>
          <w:p w14:paraId="65F72227" w14:textId="77777777" w:rsidR="00FB6D0E" w:rsidRDefault="00FB6D0E" w:rsidP="00FB6D0E">
            <w:r w:rsidRPr="00594C66">
              <w:rPr>
                <w:b w:val="0"/>
                <w:bCs w:val="0"/>
              </w:rPr>
              <w:t>other than a service associated with a service to which item 11015, 11021, 11024, 11027</w:t>
            </w:r>
            <w:r w:rsidRPr="00FB6D0E">
              <w:rPr>
                <w:strike/>
              </w:rPr>
              <w:t>,</w:t>
            </w:r>
            <w:r w:rsidRPr="00594C66">
              <w:rPr>
                <w:b w:val="0"/>
                <w:bCs w:val="0"/>
              </w:rPr>
              <w:t xml:space="preserve"> </w:t>
            </w:r>
            <w:r w:rsidRPr="00FB6D0E">
              <w:t>or</w:t>
            </w:r>
            <w:r w:rsidRPr="00594C66">
              <w:rPr>
                <w:b w:val="0"/>
                <w:bCs w:val="0"/>
              </w:rPr>
              <w:t xml:space="preserve"> 11205 </w:t>
            </w:r>
            <w:r w:rsidRPr="00FB6D0E">
              <w:rPr>
                <w:strike/>
              </w:rPr>
              <w:t>or 11300</w:t>
            </w:r>
            <w:r w:rsidRPr="004C2A9B">
              <w:t xml:space="preserve"> </w:t>
            </w:r>
            <w:proofErr w:type="gramStart"/>
            <w:r w:rsidRPr="00594C66">
              <w:rPr>
                <w:b w:val="0"/>
                <w:bCs w:val="0"/>
              </w:rPr>
              <w:t>applies</w:t>
            </w:r>
            <w:proofErr w:type="gramEnd"/>
          </w:p>
          <w:p w14:paraId="51EDADA2" w14:textId="78C0596E" w:rsidR="00501DC1" w:rsidRPr="004C2A9B" w:rsidRDefault="00501DC1" w:rsidP="00FB6D0E">
            <w:pPr>
              <w:rPr>
                <w:b w:val="0"/>
                <w:bCs w:val="0"/>
              </w:rPr>
            </w:pPr>
            <w:r>
              <w:rPr>
                <w:b w:val="0"/>
                <w:bCs w:val="0"/>
              </w:rPr>
              <w:t>Fee:</w:t>
            </w:r>
            <w:r w:rsidRPr="00501DC1">
              <w:rPr>
                <w:b w:val="0"/>
                <w:bCs w:val="0"/>
              </w:rPr>
              <w:t xml:space="preserve"> $636.05 Benefit: 75% = $477.</w:t>
            </w:r>
            <w:proofErr w:type="gramStart"/>
            <w:r w:rsidRPr="00501DC1">
              <w:rPr>
                <w:b w:val="0"/>
                <w:bCs w:val="0"/>
              </w:rPr>
              <w:t>05  85</w:t>
            </w:r>
            <w:proofErr w:type="gramEnd"/>
            <w:r w:rsidRPr="00501DC1">
              <w:rPr>
                <w:b w:val="0"/>
                <w:bCs w:val="0"/>
              </w:rPr>
              <w:t>% = $540.65</w:t>
            </w:r>
          </w:p>
          <w:p w14:paraId="6561CCE3" w14:textId="77777777" w:rsidR="00D7361C" w:rsidRPr="00FB6D0E" w:rsidRDefault="00D7361C" w:rsidP="00A00375">
            <w:pPr>
              <w:pStyle w:val="ListBullet"/>
              <w:numPr>
                <w:ilvl w:val="0"/>
                <w:numId w:val="0"/>
              </w:numPr>
              <w:ind w:left="360" w:hanging="360"/>
              <w:rPr>
                <w:b w:val="0"/>
                <w:bCs w:val="0"/>
                <w:szCs w:val="24"/>
              </w:rPr>
            </w:pPr>
            <w:r w:rsidRPr="00FB6D0E">
              <w:rPr>
                <w:b w:val="0"/>
                <w:bCs w:val="0"/>
                <w:szCs w:val="24"/>
              </w:rPr>
              <w:t>Private Health Insurance Classification:</w:t>
            </w:r>
          </w:p>
          <w:p w14:paraId="6F3B1BDB" w14:textId="001D9615" w:rsidR="00D7361C" w:rsidRPr="00FB6D0E" w:rsidRDefault="00D7361C" w:rsidP="00D7361C">
            <w:pPr>
              <w:pStyle w:val="ListBullet"/>
              <w:rPr>
                <w:b w:val="0"/>
                <w:bCs w:val="0"/>
                <w:szCs w:val="24"/>
              </w:rPr>
            </w:pPr>
            <w:r w:rsidRPr="00FB6D0E">
              <w:rPr>
                <w:b w:val="0"/>
                <w:bCs w:val="0"/>
                <w:szCs w:val="24"/>
              </w:rPr>
              <w:t xml:space="preserve">Clinical category: </w:t>
            </w:r>
            <w:r w:rsidR="00B57E7F" w:rsidRPr="00FB6D0E">
              <w:rPr>
                <w:b w:val="0"/>
                <w:bCs w:val="0"/>
                <w:szCs w:val="24"/>
              </w:rPr>
              <w:t>Support List</w:t>
            </w:r>
          </w:p>
          <w:p w14:paraId="4CAAA657" w14:textId="20F09048" w:rsidR="00D7361C" w:rsidRPr="00FB6D0E" w:rsidRDefault="00D7361C" w:rsidP="00D7361C">
            <w:pPr>
              <w:pStyle w:val="ListBullet"/>
              <w:rPr>
                <w:b w:val="0"/>
                <w:bCs w:val="0"/>
                <w:szCs w:val="24"/>
              </w:rPr>
            </w:pPr>
            <w:r w:rsidRPr="00FB6D0E">
              <w:rPr>
                <w:b w:val="0"/>
                <w:bCs w:val="0"/>
                <w:szCs w:val="24"/>
              </w:rPr>
              <w:t xml:space="preserve">Procedure type: Type </w:t>
            </w:r>
            <w:r w:rsidR="00B57E7F" w:rsidRPr="00FB6D0E">
              <w:rPr>
                <w:b w:val="0"/>
                <w:bCs w:val="0"/>
                <w:szCs w:val="24"/>
              </w:rPr>
              <w:t>C</w:t>
            </w:r>
          </w:p>
        </w:tc>
      </w:tr>
      <w:bookmarkEnd w:id="4"/>
    </w:tbl>
    <w:p w14:paraId="1AD441D8" w14:textId="77777777" w:rsidR="00275D31" w:rsidRDefault="00275D31">
      <w:pPr>
        <w:spacing w:before="0" w:after="0" w:line="240" w:lineRule="auto"/>
        <w:rPr>
          <w:rFonts w:cs="Arial"/>
          <w:b/>
          <w:bCs/>
          <w:iCs/>
          <w:color w:val="358189"/>
          <w:sz w:val="36"/>
          <w:szCs w:val="28"/>
        </w:rPr>
      </w:pPr>
      <w:r>
        <w:br w:type="page"/>
      </w:r>
    </w:p>
    <w:p w14:paraId="26F82C33" w14:textId="59548737" w:rsidR="00141380" w:rsidRDefault="00141380" w:rsidP="00141380">
      <w:pPr>
        <w:pStyle w:val="Heading2"/>
      </w:pPr>
      <w:r>
        <w:lastRenderedPageBreak/>
        <w:t>New</w:t>
      </w:r>
      <w:r w:rsidRPr="007A32E7">
        <w:t xml:space="preserve"> item descriptors (</w:t>
      </w:r>
      <w:r w:rsidR="00916EEE">
        <w:t>effective</w:t>
      </w:r>
      <w:r w:rsidR="00916EEE" w:rsidRPr="007A32E7">
        <w:t xml:space="preserve"> </w:t>
      </w:r>
      <w:r w:rsidR="00916EEE">
        <w:t>1 July 2024</w:t>
      </w:r>
      <w:r w:rsidRPr="007A32E7">
        <w:t>)</w:t>
      </w:r>
    </w:p>
    <w:p w14:paraId="19AF8794" w14:textId="77777777" w:rsidR="00B96E46" w:rsidRPr="00AC0D69" w:rsidRDefault="00B96E46" w:rsidP="00B96E46">
      <w:pPr>
        <w:spacing w:after="0"/>
        <w:rPr>
          <w:rFonts w:cs="Arial"/>
          <w:szCs w:val="22"/>
        </w:rPr>
      </w:pPr>
      <w:r w:rsidRPr="00AC0D69">
        <w:rPr>
          <w:rFonts w:cs="Arial"/>
          <w:szCs w:val="22"/>
        </w:rPr>
        <w:t xml:space="preserve">Note: </w:t>
      </w:r>
    </w:p>
    <w:p w14:paraId="7DF0EEEF" w14:textId="77777777" w:rsidR="00B96E46" w:rsidRPr="00AC0D69" w:rsidRDefault="00B96E46" w:rsidP="00B96E46">
      <w:pPr>
        <w:numPr>
          <w:ilvl w:val="0"/>
          <w:numId w:val="32"/>
        </w:numPr>
        <w:spacing w:before="0" w:after="160" w:line="259" w:lineRule="auto"/>
        <w:contextualSpacing/>
        <w:rPr>
          <w:rFonts w:eastAsiaTheme="minorHAnsi" w:cs="Arial"/>
          <w:color w:val="auto"/>
          <w:szCs w:val="22"/>
        </w:rPr>
      </w:pPr>
      <w:r w:rsidRPr="00AC0D69">
        <w:rPr>
          <w:rFonts w:eastAsiaTheme="minorHAnsi" w:cs="Arial"/>
          <w:color w:val="auto"/>
          <w:szCs w:val="22"/>
        </w:rPr>
        <w:t xml:space="preserve">All fees listed include indexation which will be applied 1 </w:t>
      </w:r>
      <w:r>
        <w:rPr>
          <w:rFonts w:eastAsiaTheme="minorHAnsi" w:cs="Arial"/>
          <w:color w:val="auto"/>
          <w:szCs w:val="22"/>
        </w:rPr>
        <w:t>July</w:t>
      </w:r>
      <w:r w:rsidRPr="00AC0D69">
        <w:rPr>
          <w:rFonts w:eastAsiaTheme="minorHAnsi" w:cs="Arial"/>
          <w:color w:val="auto"/>
          <w:szCs w:val="22"/>
        </w:rPr>
        <w:t xml:space="preserve"> 202</w:t>
      </w:r>
      <w:r>
        <w:rPr>
          <w:rFonts w:eastAsiaTheme="minorHAnsi" w:cs="Arial"/>
          <w:color w:val="auto"/>
          <w:szCs w:val="22"/>
        </w:rPr>
        <w:t>4</w:t>
      </w:r>
      <w:r w:rsidRPr="00AC0D69">
        <w:rPr>
          <w:rFonts w:eastAsiaTheme="minorHAnsi" w:cs="Arial"/>
          <w:color w:val="auto"/>
          <w:szCs w:val="22"/>
        </w:rPr>
        <w:t>.</w:t>
      </w:r>
    </w:p>
    <w:p w14:paraId="1F0B538B" w14:textId="77777777" w:rsidR="00B96E46" w:rsidRPr="005C43E8" w:rsidRDefault="00B96E46" w:rsidP="00B96E46">
      <w:pPr>
        <w:numPr>
          <w:ilvl w:val="0"/>
          <w:numId w:val="32"/>
        </w:numPr>
        <w:spacing w:before="0" w:after="160" w:line="259" w:lineRule="auto"/>
        <w:contextualSpacing/>
        <w:rPr>
          <w:rFonts w:eastAsiaTheme="minorHAnsi" w:cs="Arial"/>
          <w:color w:val="auto"/>
          <w:szCs w:val="22"/>
        </w:rPr>
      </w:pPr>
      <w:r w:rsidRPr="00AC0D69">
        <w:rPr>
          <w:rFonts w:eastAsiaTheme="minorHAnsi" w:cs="Arial"/>
          <w:color w:val="auto"/>
          <w:szCs w:val="22"/>
        </w:rPr>
        <w:t>The Private Health Insurance Classifications for the amended items are subject to final delegate approval.</w:t>
      </w:r>
    </w:p>
    <w:p w14:paraId="012FA3E7" w14:textId="77777777" w:rsidR="00B96E46" w:rsidRPr="00B96E46" w:rsidRDefault="00B96E46" w:rsidP="004C2A9B"/>
    <w:tbl>
      <w:tblPr>
        <w:tblStyle w:val="GridTable4-Accent2"/>
        <w:tblW w:w="0" w:type="auto"/>
        <w:tblLook w:val="04A0" w:firstRow="1" w:lastRow="0" w:firstColumn="1" w:lastColumn="0" w:noHBand="0" w:noVBand="1"/>
      </w:tblPr>
      <w:tblGrid>
        <w:gridCol w:w="9060"/>
      </w:tblGrid>
      <w:tr w:rsidR="00141380" w14:paraId="1E781DC6" w14:textId="77777777" w:rsidTr="00FC1E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9C4658A" w14:textId="0507775A" w:rsidR="00141380" w:rsidRDefault="00141380" w:rsidP="00FC1E71">
            <w:pPr>
              <w:rPr>
                <w:b w:val="0"/>
                <w:bCs w:val="0"/>
                <w:lang w:eastAsia="en-AU"/>
              </w:rPr>
            </w:pPr>
            <w:r>
              <w:rPr>
                <w:lang w:eastAsia="en-AU"/>
              </w:rPr>
              <w:t>Category</w:t>
            </w:r>
            <w:r w:rsidRPr="008C4EBE">
              <w:rPr>
                <w:lang w:eastAsia="en-AU"/>
              </w:rPr>
              <w:t xml:space="preserve"> </w:t>
            </w:r>
            <w:r w:rsidR="00823CC9" w:rsidRPr="00823CC9">
              <w:rPr>
                <w:lang w:eastAsia="en-AU"/>
              </w:rPr>
              <w:t>3 - Therapeutic Procedures</w:t>
            </w:r>
          </w:p>
        </w:tc>
      </w:tr>
      <w:tr w:rsidR="00141380" w14:paraId="0537F712" w14:textId="77777777" w:rsidTr="00FC1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11B0914" w14:textId="2398453B" w:rsidR="00141380" w:rsidRDefault="00141380" w:rsidP="00FC1E71">
            <w:pPr>
              <w:rPr>
                <w:b w:val="0"/>
                <w:bCs w:val="0"/>
                <w:lang w:eastAsia="en-AU"/>
              </w:rPr>
            </w:pPr>
            <w:r>
              <w:rPr>
                <w:lang w:eastAsia="en-AU"/>
              </w:rPr>
              <w:t xml:space="preserve">Group </w:t>
            </w:r>
            <w:r w:rsidR="00823CC9" w:rsidRPr="00823CC9">
              <w:rPr>
                <w:lang w:eastAsia="en-AU"/>
              </w:rPr>
              <w:t>T8 - Surgical Operations</w:t>
            </w:r>
          </w:p>
        </w:tc>
      </w:tr>
      <w:tr w:rsidR="00141380" w14:paraId="6CF5A988" w14:textId="77777777" w:rsidTr="00FC1E71">
        <w:tc>
          <w:tcPr>
            <w:cnfStyle w:val="001000000000" w:firstRow="0" w:lastRow="0" w:firstColumn="1" w:lastColumn="0" w:oddVBand="0" w:evenVBand="0" w:oddHBand="0" w:evenHBand="0" w:firstRowFirstColumn="0" w:firstRowLastColumn="0" w:lastRowFirstColumn="0" w:lastRowLastColumn="0"/>
            <w:tcW w:w="9060" w:type="dxa"/>
            <w:hideMark/>
          </w:tcPr>
          <w:p w14:paraId="4F0E26DC" w14:textId="67F182BA" w:rsidR="00141380" w:rsidRPr="00642F20" w:rsidRDefault="00141380" w:rsidP="00FC1E71">
            <w:pPr>
              <w:pStyle w:val="Tabletextleft"/>
              <w:rPr>
                <w:b/>
              </w:rPr>
            </w:pPr>
            <w:r w:rsidRPr="00642F20">
              <w:rPr>
                <w:b/>
              </w:rPr>
              <w:t>Subgroup</w:t>
            </w:r>
            <w:r>
              <w:rPr>
                <w:b/>
              </w:rPr>
              <w:t xml:space="preserve"> </w:t>
            </w:r>
            <w:r w:rsidR="004E4C16" w:rsidRPr="004E4C16">
              <w:rPr>
                <w:b/>
              </w:rPr>
              <w:t>8 - Ear, Nose and Throat</w:t>
            </w:r>
          </w:p>
        </w:tc>
      </w:tr>
      <w:tr w:rsidR="00141380" w14:paraId="599B2A40" w14:textId="77777777" w:rsidTr="00FC1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775BEAB" w14:textId="5A368984" w:rsidR="00141380" w:rsidRPr="00256FC0" w:rsidRDefault="00506646" w:rsidP="00FC1E71">
            <w:r w:rsidRPr="00256FC0">
              <w:t>41768</w:t>
            </w:r>
          </w:p>
          <w:p w14:paraId="429148DB" w14:textId="77777777" w:rsidR="00997501" w:rsidRPr="00256FC0" w:rsidRDefault="00997501" w:rsidP="00997501">
            <w:r w:rsidRPr="00256FC0">
              <w:t>Unilateral insertion of bioabsorbable implant for nasal airway obstruction due to lateral wall insufficiency confirmed by positive modified Cottle manoeuvre, if:</w:t>
            </w:r>
          </w:p>
          <w:p w14:paraId="5AA4C35D" w14:textId="77777777" w:rsidR="00997501" w:rsidRPr="00256FC0" w:rsidRDefault="00997501" w:rsidP="00997501">
            <w:r w:rsidRPr="00256FC0">
              <w:t>(a) the procedure is provided by a specialist in the practice of the specialist’s speciality of otolaryngology or plastic surgery; and</w:t>
            </w:r>
          </w:p>
          <w:p w14:paraId="7DE79D66" w14:textId="77777777" w:rsidR="00997501" w:rsidRPr="00256FC0" w:rsidRDefault="00997501" w:rsidP="00997501">
            <w:r w:rsidRPr="00256FC0">
              <w:t xml:space="preserve">(b) the patient has a </w:t>
            </w:r>
            <w:proofErr w:type="spellStart"/>
            <w:r w:rsidRPr="00256FC0">
              <w:t>self reported</w:t>
            </w:r>
            <w:proofErr w:type="spellEnd"/>
            <w:r w:rsidRPr="00256FC0">
              <w:t xml:space="preserve"> NOSE Scale score of equal to or greater than 55; and</w:t>
            </w:r>
          </w:p>
          <w:p w14:paraId="398E515C" w14:textId="77777777" w:rsidR="00997501" w:rsidRPr="00256FC0" w:rsidRDefault="00997501" w:rsidP="00997501">
            <w:r w:rsidRPr="00256FC0">
              <w:t>(c) NOSE Scale evidence (with or without photographic evidence demonstrating the clinical need for this service) is documented in the patient notes; and</w:t>
            </w:r>
          </w:p>
          <w:p w14:paraId="23D40147" w14:textId="77777777" w:rsidR="00997501" w:rsidRPr="00256FC0" w:rsidRDefault="00997501" w:rsidP="00997501">
            <w:r w:rsidRPr="00256FC0">
              <w:t>(d) the patient has not previously received a service to which item 41769 applies</w:t>
            </w:r>
          </w:p>
          <w:p w14:paraId="099086B7" w14:textId="1741C5E1" w:rsidR="00141380" w:rsidRPr="00256FC0" w:rsidRDefault="00997501" w:rsidP="00997501">
            <w:r w:rsidRPr="00256FC0">
              <w:t>Applicable once per lifetime per nostril (Anaes.)</w:t>
            </w:r>
          </w:p>
          <w:p w14:paraId="15EC9F3E" w14:textId="41D19B42" w:rsidR="00501DC1" w:rsidRPr="00256FC0" w:rsidRDefault="00501DC1" w:rsidP="00997501">
            <w:r w:rsidRPr="00256FC0">
              <w:t>Fee: $205.90 Benefit: 75% = $154.</w:t>
            </w:r>
            <w:proofErr w:type="gramStart"/>
            <w:r w:rsidRPr="00256FC0">
              <w:t>45  85</w:t>
            </w:r>
            <w:proofErr w:type="gramEnd"/>
            <w:r w:rsidRPr="00256FC0">
              <w:t>% = $175.05</w:t>
            </w:r>
          </w:p>
          <w:p w14:paraId="088CE005" w14:textId="77777777" w:rsidR="00141380" w:rsidRPr="00256FC0" w:rsidRDefault="00141380" w:rsidP="00A00375">
            <w:pPr>
              <w:pStyle w:val="ListBullet"/>
              <w:numPr>
                <w:ilvl w:val="0"/>
                <w:numId w:val="0"/>
              </w:numPr>
              <w:ind w:left="360" w:hanging="360"/>
              <w:rPr>
                <w:szCs w:val="24"/>
              </w:rPr>
            </w:pPr>
            <w:r w:rsidRPr="00256FC0">
              <w:rPr>
                <w:szCs w:val="24"/>
              </w:rPr>
              <w:t>Private Health Insurance Classification:</w:t>
            </w:r>
          </w:p>
          <w:p w14:paraId="1F7AC283" w14:textId="05E60DB5" w:rsidR="00141380" w:rsidRPr="00256FC0" w:rsidRDefault="00141380" w:rsidP="00FC1E71">
            <w:pPr>
              <w:pStyle w:val="ListBullet"/>
              <w:rPr>
                <w:szCs w:val="24"/>
              </w:rPr>
            </w:pPr>
            <w:r w:rsidRPr="00256FC0">
              <w:rPr>
                <w:szCs w:val="24"/>
              </w:rPr>
              <w:t xml:space="preserve">Clinical category: </w:t>
            </w:r>
            <w:r w:rsidR="00A62D0F" w:rsidRPr="00256FC0">
              <w:rPr>
                <w:szCs w:val="24"/>
              </w:rPr>
              <w:t>Ear, Nose and Throat</w:t>
            </w:r>
          </w:p>
          <w:p w14:paraId="4384D2E3" w14:textId="104BEBC3" w:rsidR="00141380" w:rsidRPr="00256FC0" w:rsidRDefault="00141380" w:rsidP="00FC1E71">
            <w:pPr>
              <w:pStyle w:val="ListBullet"/>
              <w:rPr>
                <w:szCs w:val="24"/>
              </w:rPr>
            </w:pPr>
            <w:r w:rsidRPr="00256FC0">
              <w:rPr>
                <w:szCs w:val="24"/>
              </w:rPr>
              <w:t xml:space="preserve">Procedure type: Type </w:t>
            </w:r>
            <w:r w:rsidR="00A62D0F" w:rsidRPr="00256FC0">
              <w:rPr>
                <w:szCs w:val="24"/>
              </w:rPr>
              <w:t>C</w:t>
            </w:r>
          </w:p>
        </w:tc>
      </w:tr>
      <w:tr w:rsidR="00141380" w14:paraId="3B94B0FC" w14:textId="77777777" w:rsidTr="00FC1E71">
        <w:tc>
          <w:tcPr>
            <w:cnfStyle w:val="001000000000" w:firstRow="0" w:lastRow="0" w:firstColumn="1" w:lastColumn="0" w:oddVBand="0" w:evenVBand="0" w:oddHBand="0" w:evenHBand="0" w:firstRowFirstColumn="0" w:firstRowLastColumn="0" w:lastRowFirstColumn="0" w:lastRowLastColumn="0"/>
            <w:tcW w:w="9060" w:type="dxa"/>
            <w:hideMark/>
          </w:tcPr>
          <w:p w14:paraId="30B0C6A6" w14:textId="17A4DB49" w:rsidR="00141380" w:rsidRPr="00256FC0" w:rsidRDefault="00A5039A" w:rsidP="00FC1E71">
            <w:r w:rsidRPr="00256FC0">
              <w:t>41769</w:t>
            </w:r>
          </w:p>
          <w:p w14:paraId="71BCBE8C" w14:textId="4208D569" w:rsidR="001B7359" w:rsidRPr="00256FC0" w:rsidRDefault="001B7359" w:rsidP="001B7359">
            <w:r w:rsidRPr="00256FC0">
              <w:t>Bilateral insertion of bioabsorbable implant for nasal airway obstruction due to lateral wall insufficiency confirmed by positive modified Cottle manoeuvre, if:</w:t>
            </w:r>
          </w:p>
          <w:p w14:paraId="70E6F8AB" w14:textId="77777777" w:rsidR="001B7359" w:rsidRPr="00256FC0" w:rsidRDefault="001B7359" w:rsidP="001B7359">
            <w:r w:rsidRPr="00256FC0">
              <w:t>(a) the procedure is provided by a specialist in the practice of the specialist’s speciality of otolaryngology or plastic surgery; and</w:t>
            </w:r>
          </w:p>
          <w:p w14:paraId="67DEA30B" w14:textId="77777777" w:rsidR="001B7359" w:rsidRPr="00256FC0" w:rsidRDefault="001B7359" w:rsidP="001B7359">
            <w:r w:rsidRPr="00256FC0">
              <w:t xml:space="preserve">(b) the patient has a </w:t>
            </w:r>
            <w:proofErr w:type="spellStart"/>
            <w:r w:rsidRPr="00256FC0">
              <w:t>self reported</w:t>
            </w:r>
            <w:proofErr w:type="spellEnd"/>
            <w:r w:rsidRPr="00256FC0">
              <w:t xml:space="preserve"> NOSE Scale score of equal to or greater than 55; and</w:t>
            </w:r>
          </w:p>
          <w:p w14:paraId="6321BEA0" w14:textId="77777777" w:rsidR="001B7359" w:rsidRPr="00256FC0" w:rsidRDefault="001B7359" w:rsidP="001B7359">
            <w:r w:rsidRPr="00256FC0">
              <w:t>(c) NOSE Scale evidence (with or without photographic evidence demonstrating the clinical need for this service) is documented in the patient notes; and</w:t>
            </w:r>
          </w:p>
          <w:p w14:paraId="209AF3F7" w14:textId="77777777" w:rsidR="001B7359" w:rsidRPr="00256FC0" w:rsidRDefault="001B7359" w:rsidP="001B7359">
            <w:r w:rsidRPr="00256FC0">
              <w:t>(d) the patient has not previously received a service to which item 41768 applies</w:t>
            </w:r>
          </w:p>
          <w:p w14:paraId="06FC1720" w14:textId="50E0256E" w:rsidR="00141380" w:rsidRPr="00256FC0" w:rsidRDefault="001B7359" w:rsidP="001B7359">
            <w:r w:rsidRPr="00256FC0">
              <w:lastRenderedPageBreak/>
              <w:t>Applicable once per lifetime (Anaes.)</w:t>
            </w:r>
          </w:p>
          <w:p w14:paraId="516953DE" w14:textId="2453B392" w:rsidR="00501DC1" w:rsidRPr="00256FC0" w:rsidRDefault="00501DC1" w:rsidP="001B7359">
            <w:r w:rsidRPr="00256FC0">
              <w:t>Fee: $308.90 Benefit: 75% = $231.</w:t>
            </w:r>
            <w:proofErr w:type="gramStart"/>
            <w:r w:rsidRPr="00256FC0">
              <w:t>70  85</w:t>
            </w:r>
            <w:proofErr w:type="gramEnd"/>
            <w:r w:rsidRPr="00256FC0">
              <w:t>% = $262.60</w:t>
            </w:r>
          </w:p>
          <w:p w14:paraId="100FE6FE" w14:textId="77777777" w:rsidR="00141380" w:rsidRPr="00256FC0" w:rsidRDefault="00141380" w:rsidP="00A00375">
            <w:pPr>
              <w:pStyle w:val="ListBullet"/>
              <w:numPr>
                <w:ilvl w:val="0"/>
                <w:numId w:val="0"/>
              </w:numPr>
              <w:ind w:left="360" w:hanging="360"/>
              <w:rPr>
                <w:szCs w:val="24"/>
              </w:rPr>
            </w:pPr>
            <w:r w:rsidRPr="00256FC0">
              <w:rPr>
                <w:szCs w:val="24"/>
              </w:rPr>
              <w:t>Private Health Insurance Classification:</w:t>
            </w:r>
          </w:p>
          <w:p w14:paraId="4D1D52DF" w14:textId="5F14787E" w:rsidR="00141380" w:rsidRPr="00256FC0" w:rsidRDefault="00141380" w:rsidP="00FC1E71">
            <w:pPr>
              <w:pStyle w:val="ListBullet"/>
              <w:rPr>
                <w:szCs w:val="24"/>
              </w:rPr>
            </w:pPr>
            <w:r w:rsidRPr="00256FC0">
              <w:rPr>
                <w:szCs w:val="24"/>
              </w:rPr>
              <w:t xml:space="preserve">Clinical category: </w:t>
            </w:r>
            <w:r w:rsidR="00A62D0F" w:rsidRPr="00256FC0">
              <w:rPr>
                <w:szCs w:val="24"/>
              </w:rPr>
              <w:t>Ear, Nose and Throat</w:t>
            </w:r>
          </w:p>
          <w:p w14:paraId="7901227B" w14:textId="7AC65549" w:rsidR="00141380" w:rsidRPr="00256FC0" w:rsidRDefault="00141380" w:rsidP="00FC1E71">
            <w:pPr>
              <w:pStyle w:val="ListBullet"/>
              <w:rPr>
                <w:szCs w:val="24"/>
              </w:rPr>
            </w:pPr>
            <w:r w:rsidRPr="00256FC0">
              <w:rPr>
                <w:szCs w:val="24"/>
              </w:rPr>
              <w:t xml:space="preserve">Procedure type: Type </w:t>
            </w:r>
            <w:r w:rsidR="00A62D0F" w:rsidRPr="00256FC0">
              <w:rPr>
                <w:szCs w:val="24"/>
              </w:rPr>
              <w:t>C</w:t>
            </w:r>
            <w:r w:rsidRPr="00256FC0">
              <w:rPr>
                <w:szCs w:val="24"/>
              </w:rPr>
              <w:t xml:space="preserve"> </w:t>
            </w:r>
          </w:p>
        </w:tc>
      </w:tr>
    </w:tbl>
    <w:p w14:paraId="6B513F59" w14:textId="77777777" w:rsidR="00141380" w:rsidRDefault="00141380"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D704B3">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65D8" w14:textId="77777777" w:rsidR="0008292F" w:rsidRDefault="0008292F" w:rsidP="006B56BB">
      <w:r>
        <w:separator/>
      </w:r>
    </w:p>
    <w:p w14:paraId="1EA3082E" w14:textId="77777777" w:rsidR="0008292F" w:rsidRDefault="0008292F"/>
  </w:endnote>
  <w:endnote w:type="continuationSeparator" w:id="0">
    <w:p w14:paraId="404359BA" w14:textId="77777777" w:rsidR="0008292F" w:rsidRDefault="0008292F" w:rsidP="006B56BB">
      <w:r>
        <w:continuationSeparator/>
      </w:r>
    </w:p>
    <w:p w14:paraId="72D5FFB8" w14:textId="77777777" w:rsidR="0008292F" w:rsidRDefault="0008292F"/>
  </w:endnote>
  <w:endnote w:type="continuationNotice" w:id="1">
    <w:p w14:paraId="67F74FE5" w14:textId="77777777" w:rsidR="0008292F" w:rsidRDefault="00082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7AEE" w14:textId="1E76CCAA" w:rsidR="00277E8A" w:rsidRDefault="00154A59" w:rsidP="00277E8A">
    <w:pPr>
      <w:pStyle w:val="Footer"/>
      <w:jc w:val="left"/>
    </w:pPr>
    <w:r>
      <w:rPr>
        <w:rStyle w:val="BookTitle"/>
        <w:rFonts w:eastAsiaTheme="minorEastAsia"/>
        <w:noProof/>
      </w:rPr>
      <w:pict w14:anchorId="79578A0C">
        <v:rect id="_x0000_i1025" style="width:523.3pt;height:1.9pt" o:hralign="center" o:hrstd="t" o:hr="t" fillcolor="#a0a0a0" stroked="f"/>
      </w:pict>
    </w:r>
    <w:r w:rsidR="00277E8A">
      <w:t>Medicare Benefits Schedule</w:t>
    </w:r>
  </w:p>
  <w:p w14:paraId="6562BE05" w14:textId="77777777" w:rsidR="00277E8A" w:rsidRDefault="00277E8A" w:rsidP="00277E8A">
    <w:pPr>
      <w:pStyle w:val="Footer"/>
      <w:tabs>
        <w:tab w:val="clear" w:pos="9026"/>
        <w:tab w:val="right" w:pos="10466"/>
      </w:tabs>
    </w:pPr>
    <w:r w:rsidRPr="00277E8A">
      <w:rPr>
        <w:b/>
      </w:rPr>
      <w:t>Otolaryngology changes</w:t>
    </w:r>
    <w:r w:rsidRPr="00E863C4">
      <w:rPr>
        <w:b/>
      </w:rPr>
      <w:t xml:space="preserve"> – </w:t>
    </w:r>
    <w:r>
      <w:rPr>
        <w:b/>
      </w:rPr>
      <w:t>Factsheet</w:t>
    </w:r>
    <w:r w:rsidRPr="00E863C4">
      <w:t xml:space="preserve"> </w:t>
    </w:r>
    <w:sdt>
      <w:sdtPr>
        <w:id w:val="-301309227"/>
        <w:docPartObj>
          <w:docPartGallery w:val="Page Numbers (Bottom of Page)"/>
          <w:docPartUnique/>
        </w:docPartObj>
      </w:sdtPr>
      <w:sdtEndPr>
        <w:rPr>
          <w:noProof/>
        </w:rPr>
      </w:sdtEndPr>
      <w:sdtContent>
        <w:r>
          <w:tab/>
        </w:r>
        <w:sdt>
          <w:sdtPr>
            <w:id w:val="-352497894"/>
            <w:docPartObj>
              <w:docPartGallery w:val="Page Numbers (Bottom of Page)"/>
              <w:docPartUnique/>
            </w:docPartObj>
          </w:sdtPr>
          <w:sdtEndPr/>
          <w:sdtContent>
            <w:sdt>
              <w:sdtPr>
                <w:id w:val="-416487602"/>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6</w:t>
                </w:r>
                <w:r w:rsidRPr="00F546CA">
                  <w:rPr>
                    <w:bCs/>
                    <w:sz w:val="24"/>
                  </w:rPr>
                  <w:fldChar w:fldCharType="end"/>
                </w:r>
              </w:sdtContent>
            </w:sdt>
          </w:sdtContent>
        </w:sdt>
        <w:r>
          <w:t xml:space="preserve"> </w:t>
        </w:r>
      </w:sdtContent>
    </w:sdt>
  </w:p>
  <w:p w14:paraId="1820C38D" w14:textId="77777777" w:rsidR="00277E8A" w:rsidRDefault="00154A59" w:rsidP="00277E8A">
    <w:pPr>
      <w:pStyle w:val="Footer"/>
      <w:jc w:val="left"/>
      <w:rPr>
        <w:rStyle w:val="Hyperlink"/>
        <w:szCs w:val="18"/>
      </w:rPr>
    </w:pPr>
    <w:hyperlink r:id="rId1" w:history="1">
      <w:r w:rsidR="00277E8A" w:rsidRPr="009F5046">
        <w:rPr>
          <w:rStyle w:val="Hyperlink"/>
          <w:szCs w:val="18"/>
        </w:rPr>
        <w:t>MBS Online</w:t>
      </w:r>
    </w:hyperlink>
  </w:p>
  <w:p w14:paraId="78B91981" w14:textId="3F6CE9C5" w:rsidR="00CB03B8" w:rsidRPr="00277E8A" w:rsidRDefault="00275D31" w:rsidP="00275D31">
    <w:pPr>
      <w:pStyle w:val="Footer"/>
      <w:jc w:val="left"/>
      <w:rPr>
        <w:szCs w:val="18"/>
      </w:rPr>
    </w:pPr>
    <w:r w:rsidRPr="00870B05">
      <w:t>Last updated</w:t>
    </w:r>
    <w:r>
      <w:t xml:space="preserve"> – 4 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7FB50000" w:rsidR="00064168" w:rsidRDefault="00154A59"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15917158" w:rsidR="00064168" w:rsidRDefault="00277E8A" w:rsidP="00064168">
    <w:pPr>
      <w:pStyle w:val="Footer"/>
      <w:tabs>
        <w:tab w:val="clear" w:pos="9026"/>
        <w:tab w:val="right" w:pos="10466"/>
      </w:tabs>
    </w:pPr>
    <w:r w:rsidRPr="00277E8A">
      <w:rPr>
        <w:b/>
      </w:rPr>
      <w:t>Otolaryngology changes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57B3B071" w:rsidR="00064168" w:rsidRDefault="00154A59" w:rsidP="00064168">
    <w:pPr>
      <w:pStyle w:val="Footer"/>
      <w:jc w:val="left"/>
      <w:rPr>
        <w:rStyle w:val="Hyperlink"/>
        <w:szCs w:val="18"/>
      </w:rPr>
    </w:pPr>
    <w:hyperlink r:id="rId1" w:history="1">
      <w:r w:rsidR="009F5046" w:rsidRPr="009F5046">
        <w:rPr>
          <w:rStyle w:val="Hyperlink"/>
          <w:szCs w:val="18"/>
        </w:rPr>
        <w:t>MBS Online</w:t>
      </w:r>
    </w:hyperlink>
  </w:p>
  <w:p w14:paraId="2964AB57" w14:textId="5B57C5C2" w:rsidR="00CB03B8" w:rsidRPr="00277E8A" w:rsidRDefault="00064168" w:rsidP="00277E8A">
    <w:pPr>
      <w:pStyle w:val="Footer"/>
      <w:jc w:val="left"/>
      <w:rPr>
        <w:szCs w:val="18"/>
      </w:rPr>
    </w:pPr>
    <w:r w:rsidRPr="00870B05">
      <w:t>Last updated</w:t>
    </w:r>
    <w:r>
      <w:t xml:space="preserve"> – </w:t>
    </w:r>
    <w:r w:rsidR="00275D31">
      <w:t>4 June</w:t>
    </w:r>
    <w:r>
      <w:t xml:space="preserve"> 20</w:t>
    </w:r>
    <w:r w:rsidR="00277E8A">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6314" w14:textId="77777777" w:rsidR="0008292F" w:rsidRDefault="0008292F" w:rsidP="006B56BB">
      <w:r>
        <w:separator/>
      </w:r>
    </w:p>
    <w:p w14:paraId="34C6C338" w14:textId="77777777" w:rsidR="0008292F" w:rsidRDefault="0008292F"/>
  </w:footnote>
  <w:footnote w:type="continuationSeparator" w:id="0">
    <w:p w14:paraId="4167BBE1" w14:textId="77777777" w:rsidR="0008292F" w:rsidRDefault="0008292F" w:rsidP="006B56BB">
      <w:r>
        <w:continuationSeparator/>
      </w:r>
    </w:p>
    <w:p w14:paraId="439F8140" w14:textId="77777777" w:rsidR="0008292F" w:rsidRDefault="0008292F"/>
  </w:footnote>
  <w:footnote w:type="continuationNotice" w:id="1">
    <w:p w14:paraId="62E37E17" w14:textId="77777777" w:rsidR="0008292F" w:rsidRDefault="00082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453C49"/>
    <w:multiLevelType w:val="hybridMultilevel"/>
    <w:tmpl w:val="8AE8764E"/>
    <w:lvl w:ilvl="0" w:tplc="EEF4A4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3C772E9"/>
    <w:multiLevelType w:val="hybridMultilevel"/>
    <w:tmpl w:val="E5BE3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AA393C"/>
    <w:multiLevelType w:val="hybridMultilevel"/>
    <w:tmpl w:val="E5BE3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37334D"/>
    <w:multiLevelType w:val="hybridMultilevel"/>
    <w:tmpl w:val="4C56E682"/>
    <w:lvl w:ilvl="0" w:tplc="389663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FF066B1"/>
    <w:multiLevelType w:val="hybridMultilevel"/>
    <w:tmpl w:val="377022E8"/>
    <w:lvl w:ilvl="0" w:tplc="A2E82F24">
      <w:start w:val="1"/>
      <w:numFmt w:val="bullet"/>
      <w:lvlText w:val=""/>
      <w:lvlJc w:val="left"/>
      <w:pPr>
        <w:ind w:left="1080" w:hanging="360"/>
      </w:pPr>
      <w:rPr>
        <w:rFonts w:ascii="Symbol" w:hAnsi="Symbol" w:hint="default"/>
        <w:b w:val="0"/>
        <w:bCs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44784398">
    <w:abstractNumId w:val="7"/>
  </w:num>
  <w:num w:numId="2" w16cid:durableId="320935821">
    <w:abstractNumId w:val="20"/>
  </w:num>
  <w:num w:numId="3" w16cid:durableId="1161390217">
    <w:abstractNumId w:val="23"/>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2"/>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5"/>
  </w:num>
  <w:num w:numId="17" w16cid:durableId="2113471318">
    <w:abstractNumId w:val="12"/>
  </w:num>
  <w:num w:numId="18" w16cid:durableId="828592903">
    <w:abstractNumId w:val="14"/>
  </w:num>
  <w:num w:numId="19" w16cid:durableId="1273391997">
    <w:abstractNumId w:val="16"/>
  </w:num>
  <w:num w:numId="20" w16cid:durableId="2041469188">
    <w:abstractNumId w:val="12"/>
  </w:num>
  <w:num w:numId="21" w16cid:durableId="120997448">
    <w:abstractNumId w:val="16"/>
  </w:num>
  <w:num w:numId="22" w16cid:durableId="1088427743">
    <w:abstractNumId w:val="25"/>
  </w:num>
  <w:num w:numId="23" w16cid:durableId="111368400">
    <w:abstractNumId w:val="20"/>
  </w:num>
  <w:num w:numId="24" w16cid:durableId="815339056">
    <w:abstractNumId w:val="23"/>
  </w:num>
  <w:num w:numId="25" w16cid:durableId="743180995">
    <w:abstractNumId w:val="8"/>
  </w:num>
  <w:num w:numId="26" w16cid:durableId="320358050">
    <w:abstractNumId w:val="19"/>
  </w:num>
  <w:num w:numId="27" w16cid:durableId="508569404">
    <w:abstractNumId w:val="13"/>
  </w:num>
  <w:num w:numId="28" w16cid:durableId="1416364898">
    <w:abstractNumId w:val="15"/>
  </w:num>
  <w:num w:numId="29" w16cid:durableId="100344043">
    <w:abstractNumId w:val="10"/>
  </w:num>
  <w:num w:numId="30" w16cid:durableId="1575821124">
    <w:abstractNumId w:val="13"/>
  </w:num>
  <w:num w:numId="31" w16cid:durableId="1175146453">
    <w:abstractNumId w:val="21"/>
  </w:num>
  <w:num w:numId="32" w16cid:durableId="472793025">
    <w:abstractNumId w:val="18"/>
  </w:num>
  <w:num w:numId="33" w16cid:durableId="1716393944">
    <w:abstractNumId w:val="11"/>
  </w:num>
  <w:num w:numId="34" w16cid:durableId="1332491064">
    <w:abstractNumId w:val="24"/>
  </w:num>
  <w:num w:numId="35" w16cid:durableId="18709940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14BE3"/>
    <w:rsid w:val="00022629"/>
    <w:rsid w:val="00024DFE"/>
    <w:rsid w:val="00025061"/>
    <w:rsid w:val="00026139"/>
    <w:rsid w:val="00027601"/>
    <w:rsid w:val="00033321"/>
    <w:rsid w:val="000338E5"/>
    <w:rsid w:val="00033ECC"/>
    <w:rsid w:val="0003422F"/>
    <w:rsid w:val="00046FF0"/>
    <w:rsid w:val="00050176"/>
    <w:rsid w:val="00050342"/>
    <w:rsid w:val="00053849"/>
    <w:rsid w:val="000553D8"/>
    <w:rsid w:val="00064168"/>
    <w:rsid w:val="0006667E"/>
    <w:rsid w:val="00067456"/>
    <w:rsid w:val="00071506"/>
    <w:rsid w:val="0007154F"/>
    <w:rsid w:val="00072B96"/>
    <w:rsid w:val="00080151"/>
    <w:rsid w:val="00080BAC"/>
    <w:rsid w:val="00081AB1"/>
    <w:rsid w:val="0008292F"/>
    <w:rsid w:val="00090316"/>
    <w:rsid w:val="00093981"/>
    <w:rsid w:val="00095DDF"/>
    <w:rsid w:val="000B067A"/>
    <w:rsid w:val="000B1540"/>
    <w:rsid w:val="000B1E53"/>
    <w:rsid w:val="000B33FD"/>
    <w:rsid w:val="000B4ABA"/>
    <w:rsid w:val="000C4B16"/>
    <w:rsid w:val="000C50C3"/>
    <w:rsid w:val="000C5E14"/>
    <w:rsid w:val="000D05B6"/>
    <w:rsid w:val="000D21F6"/>
    <w:rsid w:val="000D4500"/>
    <w:rsid w:val="000D7AEA"/>
    <w:rsid w:val="000E2C66"/>
    <w:rsid w:val="000F123C"/>
    <w:rsid w:val="000F2FED"/>
    <w:rsid w:val="000F7778"/>
    <w:rsid w:val="0010616D"/>
    <w:rsid w:val="00110478"/>
    <w:rsid w:val="00111901"/>
    <w:rsid w:val="0011711B"/>
    <w:rsid w:val="00117F8A"/>
    <w:rsid w:val="00121B9B"/>
    <w:rsid w:val="00122ADC"/>
    <w:rsid w:val="001245EF"/>
    <w:rsid w:val="001304D7"/>
    <w:rsid w:val="00130F59"/>
    <w:rsid w:val="00131117"/>
    <w:rsid w:val="00133EC0"/>
    <w:rsid w:val="001360B7"/>
    <w:rsid w:val="00141380"/>
    <w:rsid w:val="00141CE5"/>
    <w:rsid w:val="00142E09"/>
    <w:rsid w:val="00144908"/>
    <w:rsid w:val="00150D23"/>
    <w:rsid w:val="00156D96"/>
    <w:rsid w:val="001571C7"/>
    <w:rsid w:val="00161094"/>
    <w:rsid w:val="0017665C"/>
    <w:rsid w:val="00177AD2"/>
    <w:rsid w:val="00177C4A"/>
    <w:rsid w:val="001815A8"/>
    <w:rsid w:val="001840FA"/>
    <w:rsid w:val="00190079"/>
    <w:rsid w:val="0019622E"/>
    <w:rsid w:val="001966A7"/>
    <w:rsid w:val="0019761F"/>
    <w:rsid w:val="001A4627"/>
    <w:rsid w:val="001A4979"/>
    <w:rsid w:val="001A718F"/>
    <w:rsid w:val="001B15D3"/>
    <w:rsid w:val="001B3443"/>
    <w:rsid w:val="001B5C1D"/>
    <w:rsid w:val="001B7359"/>
    <w:rsid w:val="001C0326"/>
    <w:rsid w:val="001C192F"/>
    <w:rsid w:val="001C3C42"/>
    <w:rsid w:val="001D7869"/>
    <w:rsid w:val="001E1EF9"/>
    <w:rsid w:val="001E43B7"/>
    <w:rsid w:val="001E6554"/>
    <w:rsid w:val="001F0702"/>
    <w:rsid w:val="001F5826"/>
    <w:rsid w:val="001F78D5"/>
    <w:rsid w:val="002026CD"/>
    <w:rsid w:val="002033FC"/>
    <w:rsid w:val="002044BB"/>
    <w:rsid w:val="00210B09"/>
    <w:rsid w:val="00210C9E"/>
    <w:rsid w:val="00211840"/>
    <w:rsid w:val="00213E40"/>
    <w:rsid w:val="00220E5F"/>
    <w:rsid w:val="002212B5"/>
    <w:rsid w:val="00226668"/>
    <w:rsid w:val="00233809"/>
    <w:rsid w:val="00240046"/>
    <w:rsid w:val="0024041B"/>
    <w:rsid w:val="0024797F"/>
    <w:rsid w:val="0025119E"/>
    <w:rsid w:val="00251269"/>
    <w:rsid w:val="002535C0"/>
    <w:rsid w:val="00256FC0"/>
    <w:rsid w:val="002579FE"/>
    <w:rsid w:val="00257E22"/>
    <w:rsid w:val="00260552"/>
    <w:rsid w:val="00262688"/>
    <w:rsid w:val="0026311C"/>
    <w:rsid w:val="0026668C"/>
    <w:rsid w:val="00266AC1"/>
    <w:rsid w:val="0027178C"/>
    <w:rsid w:val="00271954"/>
    <w:rsid w:val="002719FA"/>
    <w:rsid w:val="00272668"/>
    <w:rsid w:val="0027330B"/>
    <w:rsid w:val="00275960"/>
    <w:rsid w:val="00275D31"/>
    <w:rsid w:val="00276CB4"/>
    <w:rsid w:val="00277CCD"/>
    <w:rsid w:val="00277E8A"/>
    <w:rsid w:val="002803AD"/>
    <w:rsid w:val="00282052"/>
    <w:rsid w:val="002831A3"/>
    <w:rsid w:val="0028519E"/>
    <w:rsid w:val="002856A5"/>
    <w:rsid w:val="002872ED"/>
    <w:rsid w:val="002905C2"/>
    <w:rsid w:val="00295AF2"/>
    <w:rsid w:val="00295C91"/>
    <w:rsid w:val="00297151"/>
    <w:rsid w:val="002A2F2B"/>
    <w:rsid w:val="002B20E6"/>
    <w:rsid w:val="002B42A3"/>
    <w:rsid w:val="002C0CDD"/>
    <w:rsid w:val="002C305F"/>
    <w:rsid w:val="002C38C4"/>
    <w:rsid w:val="002C46AA"/>
    <w:rsid w:val="002D65A2"/>
    <w:rsid w:val="002E1A1D"/>
    <w:rsid w:val="002E4081"/>
    <w:rsid w:val="002E5B78"/>
    <w:rsid w:val="002F3AE3"/>
    <w:rsid w:val="0030464B"/>
    <w:rsid w:val="003062C8"/>
    <w:rsid w:val="0030786C"/>
    <w:rsid w:val="00313965"/>
    <w:rsid w:val="003233DE"/>
    <w:rsid w:val="0032466B"/>
    <w:rsid w:val="003330EB"/>
    <w:rsid w:val="00333C73"/>
    <w:rsid w:val="003415FD"/>
    <w:rsid w:val="003429F0"/>
    <w:rsid w:val="003442C8"/>
    <w:rsid w:val="00345A82"/>
    <w:rsid w:val="0035097A"/>
    <w:rsid w:val="003540A4"/>
    <w:rsid w:val="00357BCC"/>
    <w:rsid w:val="00360E4E"/>
    <w:rsid w:val="00370AAA"/>
    <w:rsid w:val="00375F77"/>
    <w:rsid w:val="0038183D"/>
    <w:rsid w:val="00381BBE"/>
    <w:rsid w:val="00382903"/>
    <w:rsid w:val="003846FF"/>
    <w:rsid w:val="003857D4"/>
    <w:rsid w:val="00385AD4"/>
    <w:rsid w:val="00385C01"/>
    <w:rsid w:val="00387924"/>
    <w:rsid w:val="0039384D"/>
    <w:rsid w:val="00395C23"/>
    <w:rsid w:val="003A106C"/>
    <w:rsid w:val="003A2E4F"/>
    <w:rsid w:val="003A4438"/>
    <w:rsid w:val="003A5013"/>
    <w:rsid w:val="003A5078"/>
    <w:rsid w:val="003A62DD"/>
    <w:rsid w:val="003A775A"/>
    <w:rsid w:val="003B213A"/>
    <w:rsid w:val="003B43AD"/>
    <w:rsid w:val="003C0FEC"/>
    <w:rsid w:val="003C241C"/>
    <w:rsid w:val="003C2AC8"/>
    <w:rsid w:val="003C39B2"/>
    <w:rsid w:val="003D033A"/>
    <w:rsid w:val="003D17F9"/>
    <w:rsid w:val="003D2D88"/>
    <w:rsid w:val="003D41EA"/>
    <w:rsid w:val="003D4850"/>
    <w:rsid w:val="003D535A"/>
    <w:rsid w:val="003E1B4D"/>
    <w:rsid w:val="003E5265"/>
    <w:rsid w:val="003F0955"/>
    <w:rsid w:val="003F174D"/>
    <w:rsid w:val="003F5F4D"/>
    <w:rsid w:val="003F646F"/>
    <w:rsid w:val="00400F00"/>
    <w:rsid w:val="00401DA2"/>
    <w:rsid w:val="004037FB"/>
    <w:rsid w:val="00404F8B"/>
    <w:rsid w:val="00405256"/>
    <w:rsid w:val="00405ADD"/>
    <w:rsid w:val="00410031"/>
    <w:rsid w:val="00415C81"/>
    <w:rsid w:val="00432378"/>
    <w:rsid w:val="004334D2"/>
    <w:rsid w:val="00440D65"/>
    <w:rsid w:val="004435E6"/>
    <w:rsid w:val="00447E31"/>
    <w:rsid w:val="00453923"/>
    <w:rsid w:val="00454B9B"/>
    <w:rsid w:val="0045503E"/>
    <w:rsid w:val="00457858"/>
    <w:rsid w:val="00460B0B"/>
    <w:rsid w:val="00461023"/>
    <w:rsid w:val="00461FB9"/>
    <w:rsid w:val="00462FAC"/>
    <w:rsid w:val="00464631"/>
    <w:rsid w:val="00464B79"/>
    <w:rsid w:val="00467BBF"/>
    <w:rsid w:val="0047722A"/>
    <w:rsid w:val="0048593C"/>
    <w:rsid w:val="004867E2"/>
    <w:rsid w:val="00491B8A"/>
    <w:rsid w:val="004929A9"/>
    <w:rsid w:val="004A78D9"/>
    <w:rsid w:val="004C1BCD"/>
    <w:rsid w:val="004C2A9B"/>
    <w:rsid w:val="004C6BCF"/>
    <w:rsid w:val="004D0D0B"/>
    <w:rsid w:val="004D58BF"/>
    <w:rsid w:val="004E4335"/>
    <w:rsid w:val="004E4C16"/>
    <w:rsid w:val="004E5226"/>
    <w:rsid w:val="004F13EE"/>
    <w:rsid w:val="004F2022"/>
    <w:rsid w:val="004F7C05"/>
    <w:rsid w:val="00501C94"/>
    <w:rsid w:val="00501DC1"/>
    <w:rsid w:val="00506432"/>
    <w:rsid w:val="00506646"/>
    <w:rsid w:val="00506C4B"/>
    <w:rsid w:val="00506E82"/>
    <w:rsid w:val="0052051D"/>
    <w:rsid w:val="00531BF5"/>
    <w:rsid w:val="00537F38"/>
    <w:rsid w:val="00545EE6"/>
    <w:rsid w:val="005550E7"/>
    <w:rsid w:val="005564FB"/>
    <w:rsid w:val="005572C7"/>
    <w:rsid w:val="005650ED"/>
    <w:rsid w:val="00574CD1"/>
    <w:rsid w:val="00575754"/>
    <w:rsid w:val="00581FBA"/>
    <w:rsid w:val="005858A4"/>
    <w:rsid w:val="00591E20"/>
    <w:rsid w:val="005920E7"/>
    <w:rsid w:val="0059404E"/>
    <w:rsid w:val="00594C66"/>
    <w:rsid w:val="00595408"/>
    <w:rsid w:val="00595E84"/>
    <w:rsid w:val="005A0C59"/>
    <w:rsid w:val="005A3516"/>
    <w:rsid w:val="005A48EB"/>
    <w:rsid w:val="005A6CFB"/>
    <w:rsid w:val="005C5AEB"/>
    <w:rsid w:val="005C628D"/>
    <w:rsid w:val="005D5251"/>
    <w:rsid w:val="005D5F4E"/>
    <w:rsid w:val="005E0A3F"/>
    <w:rsid w:val="005E1AF9"/>
    <w:rsid w:val="005E2D76"/>
    <w:rsid w:val="005E6883"/>
    <w:rsid w:val="005E772F"/>
    <w:rsid w:val="005F4ECA"/>
    <w:rsid w:val="006041BE"/>
    <w:rsid w:val="006043C7"/>
    <w:rsid w:val="00605FE7"/>
    <w:rsid w:val="00624B52"/>
    <w:rsid w:val="00630794"/>
    <w:rsid w:val="00631DF4"/>
    <w:rsid w:val="00634175"/>
    <w:rsid w:val="0063574E"/>
    <w:rsid w:val="006408AC"/>
    <w:rsid w:val="00641255"/>
    <w:rsid w:val="00642F20"/>
    <w:rsid w:val="006511B6"/>
    <w:rsid w:val="006535B5"/>
    <w:rsid w:val="00657FF8"/>
    <w:rsid w:val="00660F36"/>
    <w:rsid w:val="006639A0"/>
    <w:rsid w:val="00670D99"/>
    <w:rsid w:val="00670E2B"/>
    <w:rsid w:val="006734BB"/>
    <w:rsid w:val="0067697A"/>
    <w:rsid w:val="006821EB"/>
    <w:rsid w:val="00683366"/>
    <w:rsid w:val="006A515D"/>
    <w:rsid w:val="006B2286"/>
    <w:rsid w:val="006B56BB"/>
    <w:rsid w:val="006B5CEA"/>
    <w:rsid w:val="006C085B"/>
    <w:rsid w:val="006C17C4"/>
    <w:rsid w:val="006C77A8"/>
    <w:rsid w:val="006D4098"/>
    <w:rsid w:val="006D67F4"/>
    <w:rsid w:val="006D7681"/>
    <w:rsid w:val="006D7B2E"/>
    <w:rsid w:val="006E02EA"/>
    <w:rsid w:val="006E0968"/>
    <w:rsid w:val="006E2AF6"/>
    <w:rsid w:val="006F5073"/>
    <w:rsid w:val="00701275"/>
    <w:rsid w:val="00707F56"/>
    <w:rsid w:val="00713558"/>
    <w:rsid w:val="00716395"/>
    <w:rsid w:val="00720D08"/>
    <w:rsid w:val="007263B9"/>
    <w:rsid w:val="00726DB9"/>
    <w:rsid w:val="007334F8"/>
    <w:rsid w:val="007339CD"/>
    <w:rsid w:val="007359D8"/>
    <w:rsid w:val="007362D4"/>
    <w:rsid w:val="0074405E"/>
    <w:rsid w:val="00751C62"/>
    <w:rsid w:val="0076672A"/>
    <w:rsid w:val="00775E45"/>
    <w:rsid w:val="00776E74"/>
    <w:rsid w:val="00784BC0"/>
    <w:rsid w:val="00785169"/>
    <w:rsid w:val="007948D4"/>
    <w:rsid w:val="007954AB"/>
    <w:rsid w:val="007A14C5"/>
    <w:rsid w:val="007A4A10"/>
    <w:rsid w:val="007B1750"/>
    <w:rsid w:val="007B1760"/>
    <w:rsid w:val="007B1F49"/>
    <w:rsid w:val="007C1FDC"/>
    <w:rsid w:val="007C31DD"/>
    <w:rsid w:val="007C343D"/>
    <w:rsid w:val="007C6D9C"/>
    <w:rsid w:val="007C7DDB"/>
    <w:rsid w:val="007D2CC7"/>
    <w:rsid w:val="007D673D"/>
    <w:rsid w:val="007E0068"/>
    <w:rsid w:val="007E0FB8"/>
    <w:rsid w:val="007E4D09"/>
    <w:rsid w:val="007F1E8B"/>
    <w:rsid w:val="007F2220"/>
    <w:rsid w:val="007F4B3E"/>
    <w:rsid w:val="008127AF"/>
    <w:rsid w:val="00812B46"/>
    <w:rsid w:val="00815700"/>
    <w:rsid w:val="0082246B"/>
    <w:rsid w:val="00823CC9"/>
    <w:rsid w:val="008264EB"/>
    <w:rsid w:val="00826B8F"/>
    <w:rsid w:val="00830A6F"/>
    <w:rsid w:val="00831E8A"/>
    <w:rsid w:val="00835C76"/>
    <w:rsid w:val="008376E2"/>
    <w:rsid w:val="00843049"/>
    <w:rsid w:val="008437CA"/>
    <w:rsid w:val="00844AF4"/>
    <w:rsid w:val="0085209B"/>
    <w:rsid w:val="0085567E"/>
    <w:rsid w:val="00856B66"/>
    <w:rsid w:val="008601AC"/>
    <w:rsid w:val="00861A5F"/>
    <w:rsid w:val="008644AD"/>
    <w:rsid w:val="00864D39"/>
    <w:rsid w:val="00865735"/>
    <w:rsid w:val="00865DDB"/>
    <w:rsid w:val="00867538"/>
    <w:rsid w:val="00873D90"/>
    <w:rsid w:val="00873FC8"/>
    <w:rsid w:val="00875D5B"/>
    <w:rsid w:val="00884C63"/>
    <w:rsid w:val="00885908"/>
    <w:rsid w:val="008864B7"/>
    <w:rsid w:val="00894DA8"/>
    <w:rsid w:val="0089677E"/>
    <w:rsid w:val="008A7438"/>
    <w:rsid w:val="008B1334"/>
    <w:rsid w:val="008B25C7"/>
    <w:rsid w:val="008B4118"/>
    <w:rsid w:val="008C0278"/>
    <w:rsid w:val="008C24E9"/>
    <w:rsid w:val="008C4EBE"/>
    <w:rsid w:val="008C7838"/>
    <w:rsid w:val="008D0533"/>
    <w:rsid w:val="008D42CB"/>
    <w:rsid w:val="008D48C9"/>
    <w:rsid w:val="008D6381"/>
    <w:rsid w:val="008D7564"/>
    <w:rsid w:val="008E0C77"/>
    <w:rsid w:val="008E625F"/>
    <w:rsid w:val="008F264D"/>
    <w:rsid w:val="008F6089"/>
    <w:rsid w:val="009040E9"/>
    <w:rsid w:val="009074E1"/>
    <w:rsid w:val="009112F7"/>
    <w:rsid w:val="009122AF"/>
    <w:rsid w:val="00912D54"/>
    <w:rsid w:val="0091389F"/>
    <w:rsid w:val="00916EEE"/>
    <w:rsid w:val="009208F7"/>
    <w:rsid w:val="00921649"/>
    <w:rsid w:val="00922517"/>
    <w:rsid w:val="00922722"/>
    <w:rsid w:val="009242ED"/>
    <w:rsid w:val="009261E6"/>
    <w:rsid w:val="009268E1"/>
    <w:rsid w:val="009271EE"/>
    <w:rsid w:val="0093226A"/>
    <w:rsid w:val="009333A8"/>
    <w:rsid w:val="009344AE"/>
    <w:rsid w:val="009344DE"/>
    <w:rsid w:val="009407AD"/>
    <w:rsid w:val="00945E7F"/>
    <w:rsid w:val="009518C7"/>
    <w:rsid w:val="009557C1"/>
    <w:rsid w:val="00960044"/>
    <w:rsid w:val="00960D6E"/>
    <w:rsid w:val="00974B59"/>
    <w:rsid w:val="00981622"/>
    <w:rsid w:val="0098166B"/>
    <w:rsid w:val="00981C3D"/>
    <w:rsid w:val="0098340B"/>
    <w:rsid w:val="00986830"/>
    <w:rsid w:val="009924C3"/>
    <w:rsid w:val="00993102"/>
    <w:rsid w:val="00993103"/>
    <w:rsid w:val="00997501"/>
    <w:rsid w:val="009B1570"/>
    <w:rsid w:val="009C6F10"/>
    <w:rsid w:val="009D0BD8"/>
    <w:rsid w:val="009D148F"/>
    <w:rsid w:val="009D3D70"/>
    <w:rsid w:val="009D7A12"/>
    <w:rsid w:val="009E30B7"/>
    <w:rsid w:val="009E6F7E"/>
    <w:rsid w:val="009E7A57"/>
    <w:rsid w:val="009F4803"/>
    <w:rsid w:val="009F4F6A"/>
    <w:rsid w:val="009F5046"/>
    <w:rsid w:val="00A00375"/>
    <w:rsid w:val="00A13517"/>
    <w:rsid w:val="00A13EB5"/>
    <w:rsid w:val="00A16E36"/>
    <w:rsid w:val="00A23527"/>
    <w:rsid w:val="00A24961"/>
    <w:rsid w:val="00A24B10"/>
    <w:rsid w:val="00A277EF"/>
    <w:rsid w:val="00A30E9B"/>
    <w:rsid w:val="00A3795C"/>
    <w:rsid w:val="00A4512D"/>
    <w:rsid w:val="00A4591E"/>
    <w:rsid w:val="00A46D6E"/>
    <w:rsid w:val="00A4748C"/>
    <w:rsid w:val="00A50244"/>
    <w:rsid w:val="00A5039A"/>
    <w:rsid w:val="00A627D7"/>
    <w:rsid w:val="00A62D0F"/>
    <w:rsid w:val="00A656C7"/>
    <w:rsid w:val="00A705AF"/>
    <w:rsid w:val="00A719F6"/>
    <w:rsid w:val="00A72454"/>
    <w:rsid w:val="00A77696"/>
    <w:rsid w:val="00A80557"/>
    <w:rsid w:val="00A81D33"/>
    <w:rsid w:val="00A8341C"/>
    <w:rsid w:val="00A930AE"/>
    <w:rsid w:val="00AA1A95"/>
    <w:rsid w:val="00AA260F"/>
    <w:rsid w:val="00AB1527"/>
    <w:rsid w:val="00AB1EE7"/>
    <w:rsid w:val="00AB4B37"/>
    <w:rsid w:val="00AB5762"/>
    <w:rsid w:val="00AC2679"/>
    <w:rsid w:val="00AC4BE4"/>
    <w:rsid w:val="00AD05E6"/>
    <w:rsid w:val="00AD0D3F"/>
    <w:rsid w:val="00AD431C"/>
    <w:rsid w:val="00AE1D7D"/>
    <w:rsid w:val="00AE2A8B"/>
    <w:rsid w:val="00AE3F64"/>
    <w:rsid w:val="00AF3EA3"/>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57E7F"/>
    <w:rsid w:val="00B61129"/>
    <w:rsid w:val="00B67E7F"/>
    <w:rsid w:val="00B76DB3"/>
    <w:rsid w:val="00B839B2"/>
    <w:rsid w:val="00B92F41"/>
    <w:rsid w:val="00B94252"/>
    <w:rsid w:val="00B96E46"/>
    <w:rsid w:val="00B9715A"/>
    <w:rsid w:val="00BA14BE"/>
    <w:rsid w:val="00BA25D5"/>
    <w:rsid w:val="00BA2732"/>
    <w:rsid w:val="00BA293D"/>
    <w:rsid w:val="00BA49BC"/>
    <w:rsid w:val="00BA56B7"/>
    <w:rsid w:val="00BA7A1E"/>
    <w:rsid w:val="00BB2F6C"/>
    <w:rsid w:val="00BB3875"/>
    <w:rsid w:val="00BB5860"/>
    <w:rsid w:val="00BB6AAD"/>
    <w:rsid w:val="00BC0A13"/>
    <w:rsid w:val="00BC2B15"/>
    <w:rsid w:val="00BC4A19"/>
    <w:rsid w:val="00BC4E6D"/>
    <w:rsid w:val="00BD0617"/>
    <w:rsid w:val="00BD0A9E"/>
    <w:rsid w:val="00BD2E9B"/>
    <w:rsid w:val="00BD7FB2"/>
    <w:rsid w:val="00BE3ED5"/>
    <w:rsid w:val="00C00930"/>
    <w:rsid w:val="00C02732"/>
    <w:rsid w:val="00C060AD"/>
    <w:rsid w:val="00C113BF"/>
    <w:rsid w:val="00C2176E"/>
    <w:rsid w:val="00C23430"/>
    <w:rsid w:val="00C27D67"/>
    <w:rsid w:val="00C324F9"/>
    <w:rsid w:val="00C37F3F"/>
    <w:rsid w:val="00C435AF"/>
    <w:rsid w:val="00C4631F"/>
    <w:rsid w:val="00C47CDE"/>
    <w:rsid w:val="00C50E16"/>
    <w:rsid w:val="00C52502"/>
    <w:rsid w:val="00C55258"/>
    <w:rsid w:val="00C65890"/>
    <w:rsid w:val="00C71A8A"/>
    <w:rsid w:val="00C75FA3"/>
    <w:rsid w:val="00C82EEB"/>
    <w:rsid w:val="00C87D08"/>
    <w:rsid w:val="00C971DC"/>
    <w:rsid w:val="00CA16B7"/>
    <w:rsid w:val="00CA62AE"/>
    <w:rsid w:val="00CB03B8"/>
    <w:rsid w:val="00CB0B67"/>
    <w:rsid w:val="00CB5B1A"/>
    <w:rsid w:val="00CB7C9C"/>
    <w:rsid w:val="00CC1D0D"/>
    <w:rsid w:val="00CC220B"/>
    <w:rsid w:val="00CC5C43"/>
    <w:rsid w:val="00CD02AE"/>
    <w:rsid w:val="00CD0A9D"/>
    <w:rsid w:val="00CD2A4F"/>
    <w:rsid w:val="00CD7D38"/>
    <w:rsid w:val="00CE03CA"/>
    <w:rsid w:val="00CE22F1"/>
    <w:rsid w:val="00CE50F2"/>
    <w:rsid w:val="00CE56B7"/>
    <w:rsid w:val="00CE6502"/>
    <w:rsid w:val="00CF6F54"/>
    <w:rsid w:val="00CF7D3C"/>
    <w:rsid w:val="00D01F09"/>
    <w:rsid w:val="00D03527"/>
    <w:rsid w:val="00D147EB"/>
    <w:rsid w:val="00D14972"/>
    <w:rsid w:val="00D16F9C"/>
    <w:rsid w:val="00D34667"/>
    <w:rsid w:val="00D401E1"/>
    <w:rsid w:val="00D408B4"/>
    <w:rsid w:val="00D43C53"/>
    <w:rsid w:val="00D44330"/>
    <w:rsid w:val="00D508A4"/>
    <w:rsid w:val="00D524C8"/>
    <w:rsid w:val="00D535C2"/>
    <w:rsid w:val="00D616ED"/>
    <w:rsid w:val="00D61941"/>
    <w:rsid w:val="00D63545"/>
    <w:rsid w:val="00D6401D"/>
    <w:rsid w:val="00D665A2"/>
    <w:rsid w:val="00D704B3"/>
    <w:rsid w:val="00D70E24"/>
    <w:rsid w:val="00D72B61"/>
    <w:rsid w:val="00D7361C"/>
    <w:rsid w:val="00D93735"/>
    <w:rsid w:val="00DA3D1D"/>
    <w:rsid w:val="00DB6286"/>
    <w:rsid w:val="00DB645F"/>
    <w:rsid w:val="00DB76E9"/>
    <w:rsid w:val="00DC0A67"/>
    <w:rsid w:val="00DC1D5E"/>
    <w:rsid w:val="00DC5220"/>
    <w:rsid w:val="00DC6550"/>
    <w:rsid w:val="00DC67E7"/>
    <w:rsid w:val="00DD2061"/>
    <w:rsid w:val="00DD7DAB"/>
    <w:rsid w:val="00DE3355"/>
    <w:rsid w:val="00DE3C8C"/>
    <w:rsid w:val="00DF0C60"/>
    <w:rsid w:val="00DF486F"/>
    <w:rsid w:val="00DF5B5B"/>
    <w:rsid w:val="00DF7619"/>
    <w:rsid w:val="00E042D8"/>
    <w:rsid w:val="00E07EE7"/>
    <w:rsid w:val="00E1103B"/>
    <w:rsid w:val="00E17B44"/>
    <w:rsid w:val="00E20F27"/>
    <w:rsid w:val="00E22443"/>
    <w:rsid w:val="00E25B1F"/>
    <w:rsid w:val="00E27FEA"/>
    <w:rsid w:val="00E37C62"/>
    <w:rsid w:val="00E4086F"/>
    <w:rsid w:val="00E40E12"/>
    <w:rsid w:val="00E43B3C"/>
    <w:rsid w:val="00E43E7D"/>
    <w:rsid w:val="00E50188"/>
    <w:rsid w:val="00E50BB3"/>
    <w:rsid w:val="00E515CB"/>
    <w:rsid w:val="00E52260"/>
    <w:rsid w:val="00E56AED"/>
    <w:rsid w:val="00E61B66"/>
    <w:rsid w:val="00E639B6"/>
    <w:rsid w:val="00E6434B"/>
    <w:rsid w:val="00E6463D"/>
    <w:rsid w:val="00E660C2"/>
    <w:rsid w:val="00E71492"/>
    <w:rsid w:val="00E72E9B"/>
    <w:rsid w:val="00E850C3"/>
    <w:rsid w:val="00E86EA2"/>
    <w:rsid w:val="00E87DF2"/>
    <w:rsid w:val="00E9462E"/>
    <w:rsid w:val="00EA470E"/>
    <w:rsid w:val="00EA47A7"/>
    <w:rsid w:val="00EA57EB"/>
    <w:rsid w:val="00EB3226"/>
    <w:rsid w:val="00EB5A3B"/>
    <w:rsid w:val="00EC213A"/>
    <w:rsid w:val="00EC7744"/>
    <w:rsid w:val="00ED0DAD"/>
    <w:rsid w:val="00ED0F46"/>
    <w:rsid w:val="00ED2373"/>
    <w:rsid w:val="00ED24F9"/>
    <w:rsid w:val="00ED2E38"/>
    <w:rsid w:val="00ED6996"/>
    <w:rsid w:val="00EE3E8A"/>
    <w:rsid w:val="00EF58B8"/>
    <w:rsid w:val="00EF6ECA"/>
    <w:rsid w:val="00F024E1"/>
    <w:rsid w:val="00F06432"/>
    <w:rsid w:val="00F06C10"/>
    <w:rsid w:val="00F1096F"/>
    <w:rsid w:val="00F12589"/>
    <w:rsid w:val="00F12595"/>
    <w:rsid w:val="00F134D9"/>
    <w:rsid w:val="00F1403D"/>
    <w:rsid w:val="00F1463F"/>
    <w:rsid w:val="00F21302"/>
    <w:rsid w:val="00F23E8E"/>
    <w:rsid w:val="00F2430D"/>
    <w:rsid w:val="00F27BB1"/>
    <w:rsid w:val="00F321DE"/>
    <w:rsid w:val="00F33777"/>
    <w:rsid w:val="00F40648"/>
    <w:rsid w:val="00F4772A"/>
    <w:rsid w:val="00F47DA2"/>
    <w:rsid w:val="00F51321"/>
    <w:rsid w:val="00F519FC"/>
    <w:rsid w:val="00F52B42"/>
    <w:rsid w:val="00F6239D"/>
    <w:rsid w:val="00F715D2"/>
    <w:rsid w:val="00F7274F"/>
    <w:rsid w:val="00F74E84"/>
    <w:rsid w:val="00F76FA8"/>
    <w:rsid w:val="00F85AFE"/>
    <w:rsid w:val="00F91B03"/>
    <w:rsid w:val="00F93F08"/>
    <w:rsid w:val="00F949DB"/>
    <w:rsid w:val="00F94CED"/>
    <w:rsid w:val="00FA02BB"/>
    <w:rsid w:val="00FA2CEE"/>
    <w:rsid w:val="00FA318C"/>
    <w:rsid w:val="00FA5F9E"/>
    <w:rsid w:val="00FB6D0E"/>
    <w:rsid w:val="00FB6F92"/>
    <w:rsid w:val="00FC026E"/>
    <w:rsid w:val="00FC5124"/>
    <w:rsid w:val="00FD318F"/>
    <w:rsid w:val="00FD4731"/>
    <w:rsid w:val="00FD6768"/>
    <w:rsid w:val="00FD7672"/>
    <w:rsid w:val="00FE1A9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paragraph" w:customStyle="1" w:styleId="TextBox">
    <w:name w:val="Text Box"/>
    <w:basedOn w:val="Normal"/>
    <w:link w:val="TextBoxChar"/>
    <w:qFormat/>
    <w:rsid w:val="001A718F"/>
    <w:rPr>
      <w:bCs/>
    </w:rPr>
  </w:style>
  <w:style w:type="character" w:customStyle="1" w:styleId="TextBoxChar">
    <w:name w:val="Text Box Char"/>
    <w:basedOn w:val="DefaultParagraphFont"/>
    <w:link w:val="TextBox"/>
    <w:rsid w:val="001A718F"/>
    <w:rPr>
      <w:rFonts w:ascii="Arial" w:hAnsi="Arial"/>
      <w:bCs/>
      <w:color w:val="000000" w:themeColor="text1"/>
      <w:sz w:val="22"/>
      <w:szCs w:val="24"/>
      <w:lang w:eastAsia="en-US"/>
    </w:rPr>
  </w:style>
  <w:style w:type="character" w:styleId="CommentReference">
    <w:name w:val="annotation reference"/>
    <w:basedOn w:val="DefaultParagraphFont"/>
    <w:semiHidden/>
    <w:unhideWhenUsed/>
    <w:rsid w:val="00DC6550"/>
    <w:rPr>
      <w:sz w:val="16"/>
      <w:szCs w:val="16"/>
    </w:rPr>
  </w:style>
  <w:style w:type="paragraph" w:styleId="CommentSubject">
    <w:name w:val="annotation subject"/>
    <w:basedOn w:val="CommentText"/>
    <w:next w:val="CommentText"/>
    <w:link w:val="CommentSubjectChar"/>
    <w:semiHidden/>
    <w:unhideWhenUsed/>
    <w:rsid w:val="00DC6550"/>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DC6550"/>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5188048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719-public"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bsonline.gov.au/"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1835</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2024-05-10T05:28:00Z</dcterms:created>
  <dcterms:modified xsi:type="dcterms:W3CDTF">2024-06-04T05:33:00Z</dcterms:modified>
</cp:coreProperties>
</file>