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A72" w:rsidRDefault="00A45A72" w:rsidP="00785E80">
      <w:pPr>
        <w:rPr>
          <w:b/>
          <w:sz w:val="28"/>
          <w:szCs w:val="28"/>
          <w:lang w:val="en-AU"/>
        </w:rPr>
      </w:pPr>
      <w:bookmarkStart w:id="0" w:name="_GoBack"/>
      <w:bookmarkEnd w:id="0"/>
    </w:p>
    <w:p w:rsidR="00A45A72" w:rsidRDefault="00A45A72" w:rsidP="00785E80">
      <w:pPr>
        <w:rPr>
          <w:b/>
          <w:sz w:val="28"/>
          <w:szCs w:val="28"/>
          <w:lang w:val="en-AU"/>
        </w:rPr>
      </w:pPr>
    </w:p>
    <w:p w:rsidR="00785E80" w:rsidRPr="00785E80" w:rsidRDefault="00A45A72" w:rsidP="00785E80">
      <w:pPr>
        <w:rPr>
          <w:b/>
          <w:sz w:val="28"/>
          <w:szCs w:val="28"/>
          <w:lang w:val="en-AU"/>
        </w:rPr>
      </w:pPr>
      <w:r>
        <w:rPr>
          <w:b/>
          <w:sz w:val="28"/>
          <w:szCs w:val="28"/>
          <w:lang w:val="en-AU"/>
        </w:rPr>
        <w:t xml:space="preserve">1. </w:t>
      </w:r>
      <w:r w:rsidR="00785E80" w:rsidRPr="00785E80">
        <w:rPr>
          <w:b/>
          <w:sz w:val="28"/>
          <w:szCs w:val="28"/>
          <w:lang w:val="en-AU"/>
        </w:rPr>
        <w:t xml:space="preserve">Changes to </w:t>
      </w:r>
      <w:r w:rsidR="00F7577D">
        <w:rPr>
          <w:b/>
          <w:sz w:val="28"/>
          <w:szCs w:val="28"/>
          <w:lang w:val="en-AU"/>
        </w:rPr>
        <w:t>Financial</w:t>
      </w:r>
      <w:r w:rsidR="00785E80" w:rsidRPr="00785E80">
        <w:rPr>
          <w:b/>
          <w:sz w:val="28"/>
          <w:szCs w:val="28"/>
          <w:lang w:val="en-AU"/>
        </w:rPr>
        <w:t xml:space="preserve"> Incentives</w:t>
      </w:r>
    </w:p>
    <w:p w:rsidR="00A45A72" w:rsidRDefault="00A45A72" w:rsidP="00785E80">
      <w:pPr>
        <w:rPr>
          <w:lang w:val="en-AU"/>
        </w:rPr>
      </w:pPr>
    </w:p>
    <w:p w:rsidR="00F7577D" w:rsidRDefault="00CF0629" w:rsidP="00785E80">
      <w:pPr>
        <w:rPr>
          <w:lang w:val="en-AU"/>
        </w:rPr>
      </w:pPr>
      <w:r>
        <w:rPr>
          <w:lang w:val="en-AU"/>
        </w:rPr>
        <w:t>Under the Budget measure</w:t>
      </w:r>
      <w:r w:rsidR="00F7577D">
        <w:rPr>
          <w:lang w:val="en-AU"/>
        </w:rPr>
        <w:t>, the On-Board Incentive for telehealth</w:t>
      </w:r>
      <w:r w:rsidR="00785E80" w:rsidRPr="007B4DC7">
        <w:rPr>
          <w:lang w:val="en-AU"/>
        </w:rPr>
        <w:t xml:space="preserve"> will be paid in two instalments. The first is paid after the first valid telehealth MBS claim is processed by the Department of Human Services </w:t>
      </w:r>
      <w:r w:rsidR="007B4DC7">
        <w:rPr>
          <w:lang w:val="en-AU"/>
        </w:rPr>
        <w:t xml:space="preserve">(DHS) </w:t>
      </w:r>
      <w:r w:rsidR="00785E80" w:rsidRPr="007B4DC7">
        <w:rPr>
          <w:lang w:val="en-AU"/>
        </w:rPr>
        <w:t xml:space="preserve">and the second is paid after the tenth valid telehealth MBS claim is processed by </w:t>
      </w:r>
      <w:r w:rsidR="007B4DC7">
        <w:rPr>
          <w:lang w:val="en-AU"/>
        </w:rPr>
        <w:t>DHS</w:t>
      </w:r>
      <w:r w:rsidR="00230489">
        <w:rPr>
          <w:lang w:val="en-AU"/>
        </w:rPr>
        <w:t xml:space="preserve"> (see below</w:t>
      </w:r>
      <w:r w:rsidR="008B7F17">
        <w:rPr>
          <w:lang w:val="en-AU"/>
        </w:rPr>
        <w:t xml:space="preserve"> table</w:t>
      </w:r>
      <w:r w:rsidR="00230489">
        <w:rPr>
          <w:lang w:val="en-AU"/>
        </w:rPr>
        <w:t>)</w:t>
      </w:r>
      <w:r w:rsidR="00785E80" w:rsidRPr="007B4DC7">
        <w:rPr>
          <w:lang w:val="en-AU"/>
        </w:rPr>
        <w:t>.</w:t>
      </w:r>
      <w:r w:rsidR="00F7577D">
        <w:rPr>
          <w:lang w:val="en-AU"/>
        </w:rPr>
        <w:t xml:space="preserve"> </w:t>
      </w:r>
    </w:p>
    <w:p w:rsidR="00F7577D" w:rsidRDefault="00F7577D" w:rsidP="00785E80">
      <w:pPr>
        <w:rPr>
          <w:lang w:val="en-AU"/>
        </w:rPr>
      </w:pPr>
    </w:p>
    <w:tbl>
      <w:tblPr>
        <w:tblStyle w:val="TableGrid1"/>
        <w:tblW w:w="0" w:type="auto"/>
        <w:tblInd w:w="0" w:type="dxa"/>
        <w:tblLook w:val="01E0" w:firstRow="1" w:lastRow="1" w:firstColumn="1" w:lastColumn="1" w:noHBand="0" w:noVBand="0"/>
      </w:tblPr>
      <w:tblGrid>
        <w:gridCol w:w="2548"/>
        <w:gridCol w:w="1043"/>
        <w:gridCol w:w="1043"/>
      </w:tblGrid>
      <w:tr w:rsidR="00F7577D" w:rsidTr="00801B10">
        <w:tc>
          <w:tcPr>
            <w:tcW w:w="2656" w:type="dxa"/>
            <w:shd w:val="clear" w:color="auto" w:fill="E0E0E0"/>
          </w:tcPr>
          <w:p w:rsidR="00F7577D" w:rsidRDefault="00F7577D" w:rsidP="009B128A">
            <w:pPr>
              <w:jc w:val="center"/>
              <w:rPr>
                <w:b/>
                <w:bCs/>
                <w:sz w:val="22"/>
                <w:szCs w:val="22"/>
                <w:lang w:val="en-AU"/>
              </w:rPr>
            </w:pPr>
            <w:r>
              <w:rPr>
                <w:b/>
                <w:bCs/>
                <w:sz w:val="22"/>
                <w:szCs w:val="22"/>
                <w:lang w:val="en-AU"/>
              </w:rPr>
              <w:t>Incentive</w:t>
            </w:r>
          </w:p>
        </w:tc>
        <w:tc>
          <w:tcPr>
            <w:tcW w:w="1060" w:type="dxa"/>
            <w:shd w:val="clear" w:color="auto" w:fill="E0E0E0"/>
          </w:tcPr>
          <w:p w:rsidR="00F7577D" w:rsidRDefault="00F7577D" w:rsidP="009B128A">
            <w:pPr>
              <w:jc w:val="center"/>
              <w:rPr>
                <w:b/>
                <w:bCs/>
                <w:sz w:val="22"/>
                <w:szCs w:val="22"/>
                <w:lang w:val="en-AU"/>
              </w:rPr>
            </w:pPr>
            <w:r>
              <w:rPr>
                <w:b/>
                <w:bCs/>
                <w:sz w:val="22"/>
                <w:szCs w:val="22"/>
                <w:lang w:val="en-AU"/>
              </w:rPr>
              <w:t>2012-13</w:t>
            </w:r>
          </w:p>
        </w:tc>
        <w:tc>
          <w:tcPr>
            <w:tcW w:w="1060" w:type="dxa"/>
            <w:shd w:val="clear" w:color="auto" w:fill="E0E0E0"/>
          </w:tcPr>
          <w:p w:rsidR="00F7577D" w:rsidRDefault="00F7577D" w:rsidP="009B128A">
            <w:pPr>
              <w:jc w:val="center"/>
              <w:rPr>
                <w:b/>
                <w:bCs/>
                <w:sz w:val="22"/>
                <w:szCs w:val="22"/>
                <w:lang w:val="en-AU"/>
              </w:rPr>
            </w:pPr>
            <w:r>
              <w:rPr>
                <w:b/>
                <w:bCs/>
                <w:sz w:val="22"/>
                <w:szCs w:val="22"/>
                <w:lang w:val="en-AU"/>
              </w:rPr>
              <w:t>2013-14</w:t>
            </w:r>
          </w:p>
        </w:tc>
      </w:tr>
      <w:tr w:rsidR="00F7577D" w:rsidTr="00801B10">
        <w:tc>
          <w:tcPr>
            <w:tcW w:w="2656" w:type="dxa"/>
          </w:tcPr>
          <w:p w:rsidR="00F7577D" w:rsidRDefault="00A302DE" w:rsidP="009B128A">
            <w:pPr>
              <w:rPr>
                <w:sz w:val="22"/>
                <w:szCs w:val="22"/>
                <w:lang w:val="en-AU"/>
              </w:rPr>
            </w:pPr>
            <w:r>
              <w:rPr>
                <w:sz w:val="22"/>
                <w:szCs w:val="22"/>
              </w:rPr>
              <w:t xml:space="preserve">First </w:t>
            </w:r>
            <w:r w:rsidR="00F7577D">
              <w:rPr>
                <w:sz w:val="22"/>
                <w:szCs w:val="22"/>
              </w:rPr>
              <w:t>Telehealth On</w:t>
            </w:r>
            <w:r w:rsidR="00F7577D">
              <w:rPr>
                <w:sz w:val="22"/>
                <w:szCs w:val="22"/>
              </w:rPr>
              <w:noBreakHyphen/>
              <w:t>Board instalment</w:t>
            </w:r>
          </w:p>
        </w:tc>
        <w:tc>
          <w:tcPr>
            <w:tcW w:w="1060" w:type="dxa"/>
            <w:vAlign w:val="bottom"/>
          </w:tcPr>
          <w:p w:rsidR="00F7577D" w:rsidRDefault="00F7577D" w:rsidP="009B128A">
            <w:pPr>
              <w:jc w:val="right"/>
              <w:rPr>
                <w:sz w:val="22"/>
                <w:szCs w:val="22"/>
                <w:lang w:val="en-AU"/>
              </w:rPr>
            </w:pPr>
            <w:r>
              <w:rPr>
                <w:sz w:val="22"/>
                <w:szCs w:val="22"/>
                <w:lang w:val="en-AU"/>
              </w:rPr>
              <w:t xml:space="preserve">$1,600 </w:t>
            </w:r>
          </w:p>
        </w:tc>
        <w:tc>
          <w:tcPr>
            <w:tcW w:w="1060" w:type="dxa"/>
            <w:vAlign w:val="bottom"/>
          </w:tcPr>
          <w:p w:rsidR="00F7577D" w:rsidRDefault="00F7577D" w:rsidP="009B128A">
            <w:pPr>
              <w:jc w:val="right"/>
              <w:rPr>
                <w:sz w:val="22"/>
                <w:szCs w:val="22"/>
                <w:lang w:val="en-AU"/>
              </w:rPr>
            </w:pPr>
            <w:r>
              <w:rPr>
                <w:sz w:val="22"/>
                <w:szCs w:val="22"/>
                <w:lang w:val="en-AU"/>
              </w:rPr>
              <w:t xml:space="preserve">$1,300 </w:t>
            </w:r>
          </w:p>
        </w:tc>
      </w:tr>
      <w:tr w:rsidR="00F7577D" w:rsidTr="00801B10">
        <w:tc>
          <w:tcPr>
            <w:tcW w:w="2656" w:type="dxa"/>
          </w:tcPr>
          <w:p w:rsidR="00F7577D" w:rsidRDefault="00A302DE" w:rsidP="009B128A">
            <w:pPr>
              <w:rPr>
                <w:sz w:val="22"/>
                <w:szCs w:val="22"/>
                <w:lang w:val="en-AU"/>
              </w:rPr>
            </w:pPr>
            <w:r>
              <w:rPr>
                <w:sz w:val="22"/>
                <w:szCs w:val="22"/>
              </w:rPr>
              <w:t xml:space="preserve">Second </w:t>
            </w:r>
            <w:r w:rsidR="00F7577D">
              <w:rPr>
                <w:sz w:val="22"/>
                <w:szCs w:val="22"/>
              </w:rPr>
              <w:t>Telehealth On</w:t>
            </w:r>
            <w:r w:rsidR="00F7577D">
              <w:rPr>
                <w:sz w:val="22"/>
                <w:szCs w:val="22"/>
              </w:rPr>
              <w:noBreakHyphen/>
              <w:t>Board instalment</w:t>
            </w:r>
          </w:p>
        </w:tc>
        <w:tc>
          <w:tcPr>
            <w:tcW w:w="1060" w:type="dxa"/>
            <w:vAlign w:val="bottom"/>
          </w:tcPr>
          <w:p w:rsidR="00F7577D" w:rsidRDefault="00F7577D" w:rsidP="009B128A">
            <w:pPr>
              <w:jc w:val="right"/>
              <w:rPr>
                <w:sz w:val="22"/>
                <w:szCs w:val="22"/>
                <w:lang w:val="en-AU"/>
              </w:rPr>
            </w:pPr>
            <w:r>
              <w:rPr>
                <w:sz w:val="22"/>
                <w:szCs w:val="22"/>
                <w:lang w:val="en-AU"/>
              </w:rPr>
              <w:t>$3,200</w:t>
            </w:r>
          </w:p>
        </w:tc>
        <w:tc>
          <w:tcPr>
            <w:tcW w:w="1060" w:type="dxa"/>
            <w:vAlign w:val="bottom"/>
          </w:tcPr>
          <w:p w:rsidR="00F7577D" w:rsidRDefault="00F7577D" w:rsidP="009B128A">
            <w:pPr>
              <w:jc w:val="right"/>
              <w:rPr>
                <w:sz w:val="22"/>
                <w:szCs w:val="22"/>
                <w:lang w:val="en-AU"/>
              </w:rPr>
            </w:pPr>
            <w:r>
              <w:rPr>
                <w:sz w:val="22"/>
                <w:szCs w:val="22"/>
                <w:lang w:val="en-AU"/>
              </w:rPr>
              <w:t>$2,600</w:t>
            </w:r>
          </w:p>
        </w:tc>
      </w:tr>
      <w:tr w:rsidR="008B7F17" w:rsidTr="00DF0950">
        <w:tc>
          <w:tcPr>
            <w:tcW w:w="2656" w:type="dxa"/>
          </w:tcPr>
          <w:p w:rsidR="008B7F17" w:rsidRDefault="008B7F17" w:rsidP="00DF0950">
            <w:pPr>
              <w:rPr>
                <w:sz w:val="22"/>
                <w:szCs w:val="22"/>
                <w:lang w:val="en-AU"/>
              </w:rPr>
            </w:pPr>
            <w:r>
              <w:rPr>
                <w:sz w:val="22"/>
                <w:szCs w:val="22"/>
                <w:lang w:val="en-AU"/>
              </w:rPr>
              <w:t>Total On-Board Incentive</w:t>
            </w:r>
          </w:p>
        </w:tc>
        <w:tc>
          <w:tcPr>
            <w:tcW w:w="1060" w:type="dxa"/>
            <w:vAlign w:val="bottom"/>
          </w:tcPr>
          <w:p w:rsidR="008B7F17" w:rsidRDefault="008B7F17" w:rsidP="00DF0950">
            <w:pPr>
              <w:jc w:val="right"/>
              <w:rPr>
                <w:sz w:val="22"/>
                <w:szCs w:val="22"/>
                <w:lang w:val="en-AU"/>
              </w:rPr>
            </w:pPr>
            <w:r>
              <w:rPr>
                <w:sz w:val="22"/>
                <w:szCs w:val="22"/>
                <w:lang w:val="en-AU"/>
              </w:rPr>
              <w:t>$4,800</w:t>
            </w:r>
          </w:p>
        </w:tc>
        <w:tc>
          <w:tcPr>
            <w:tcW w:w="1060" w:type="dxa"/>
            <w:vAlign w:val="bottom"/>
          </w:tcPr>
          <w:p w:rsidR="008B7F17" w:rsidRDefault="008B7F17" w:rsidP="00DF0950">
            <w:pPr>
              <w:jc w:val="right"/>
              <w:rPr>
                <w:sz w:val="22"/>
                <w:szCs w:val="22"/>
                <w:lang w:val="en-AU"/>
              </w:rPr>
            </w:pPr>
            <w:r>
              <w:rPr>
                <w:sz w:val="22"/>
                <w:szCs w:val="22"/>
                <w:lang w:val="en-AU"/>
              </w:rPr>
              <w:t>$3,900</w:t>
            </w:r>
          </w:p>
        </w:tc>
      </w:tr>
    </w:tbl>
    <w:p w:rsidR="00F7577D" w:rsidRDefault="00F7577D" w:rsidP="00785E80">
      <w:pPr>
        <w:rPr>
          <w:lang w:val="en-AU"/>
        </w:rPr>
      </w:pPr>
    </w:p>
    <w:p w:rsidR="00785E80" w:rsidRPr="007B4DC7" w:rsidRDefault="00F7577D" w:rsidP="00785E80">
      <w:pPr>
        <w:rPr>
          <w:lang w:val="en-AU"/>
        </w:rPr>
      </w:pPr>
      <w:r>
        <w:rPr>
          <w:lang w:val="en-AU"/>
        </w:rPr>
        <w:t xml:space="preserve">The </w:t>
      </w:r>
      <w:r w:rsidR="008B7F17">
        <w:rPr>
          <w:lang w:val="en-AU"/>
        </w:rPr>
        <w:t>value</w:t>
      </w:r>
      <w:r>
        <w:rPr>
          <w:lang w:val="en-AU"/>
        </w:rPr>
        <w:t xml:space="preserve"> of the second instalment will be </w:t>
      </w:r>
      <w:r w:rsidR="005D5FC9">
        <w:rPr>
          <w:lang w:val="en-AU"/>
        </w:rPr>
        <w:t>determined by</w:t>
      </w:r>
      <w:r>
        <w:rPr>
          <w:lang w:val="en-AU"/>
        </w:rPr>
        <w:t xml:space="preserve"> the </w:t>
      </w:r>
      <w:r w:rsidR="008B7F17">
        <w:rPr>
          <w:lang w:val="en-AU"/>
        </w:rPr>
        <w:t>value of the first instalment</w:t>
      </w:r>
      <w:r>
        <w:rPr>
          <w:lang w:val="en-AU"/>
        </w:rPr>
        <w:t xml:space="preserve">. </w:t>
      </w:r>
      <w:r w:rsidR="00785E80" w:rsidRPr="007B4DC7">
        <w:rPr>
          <w:lang w:val="en-AU"/>
        </w:rPr>
        <w:t>For examp</w:t>
      </w:r>
      <w:r w:rsidR="0086542D">
        <w:rPr>
          <w:lang w:val="en-AU"/>
        </w:rPr>
        <w:t>le, if a practitioner provides their first</w:t>
      </w:r>
      <w:r w:rsidR="00785E80" w:rsidRPr="007B4DC7">
        <w:rPr>
          <w:lang w:val="en-AU"/>
        </w:rPr>
        <w:t xml:space="preserve"> valid telehealth service which is processed by </w:t>
      </w:r>
      <w:r>
        <w:rPr>
          <w:lang w:val="en-AU"/>
        </w:rPr>
        <w:t xml:space="preserve">DHS in 2012-13 </w:t>
      </w:r>
      <w:r w:rsidR="00785E80" w:rsidRPr="007B4DC7">
        <w:rPr>
          <w:lang w:val="en-AU"/>
        </w:rPr>
        <w:t xml:space="preserve">and their tenth valid service is </w:t>
      </w:r>
      <w:r w:rsidR="008B7F17">
        <w:rPr>
          <w:lang w:val="en-AU"/>
        </w:rPr>
        <w:t xml:space="preserve">processed </w:t>
      </w:r>
      <w:r>
        <w:rPr>
          <w:lang w:val="en-AU"/>
        </w:rPr>
        <w:t>in</w:t>
      </w:r>
      <w:r w:rsidR="00785E80" w:rsidRPr="007B4DC7">
        <w:rPr>
          <w:lang w:val="en-AU"/>
        </w:rPr>
        <w:t xml:space="preserve"> </w:t>
      </w:r>
      <w:r w:rsidR="00801B10">
        <w:rPr>
          <w:lang w:val="en-AU"/>
        </w:rPr>
        <w:t>2013-14</w:t>
      </w:r>
      <w:r w:rsidR="00785E80" w:rsidRPr="007B4DC7">
        <w:rPr>
          <w:lang w:val="en-AU"/>
        </w:rPr>
        <w:t xml:space="preserve">, </w:t>
      </w:r>
      <w:r w:rsidR="008B7F17">
        <w:rPr>
          <w:lang w:val="en-AU"/>
        </w:rPr>
        <w:t>the value of the incentive would total $4,800</w:t>
      </w:r>
      <w:r w:rsidR="00785E80" w:rsidRPr="007B4DC7">
        <w:rPr>
          <w:lang w:val="en-AU"/>
        </w:rPr>
        <w:t>.</w:t>
      </w:r>
    </w:p>
    <w:p w:rsidR="00785E80" w:rsidRDefault="00785E80" w:rsidP="00785E80">
      <w:pPr>
        <w:rPr>
          <w:lang w:val="en-AU"/>
        </w:rPr>
      </w:pPr>
    </w:p>
    <w:p w:rsidR="00CF0629" w:rsidRDefault="00CF0629" w:rsidP="00A302DE">
      <w:pPr>
        <w:rPr>
          <w:lang w:val="en-AU"/>
        </w:rPr>
      </w:pPr>
      <w:r>
        <w:rPr>
          <w:lang w:val="en-AU"/>
        </w:rPr>
        <w:t>There are no changes to the On-Board Incentive arrangements for Residential Aged Care Facilities.</w:t>
      </w:r>
    </w:p>
    <w:p w:rsidR="00CF0629" w:rsidRDefault="00CF0629" w:rsidP="00A302DE">
      <w:pPr>
        <w:rPr>
          <w:lang w:val="en-AU"/>
        </w:rPr>
      </w:pPr>
    </w:p>
    <w:p w:rsidR="00A302DE" w:rsidRDefault="00A302DE" w:rsidP="00A302DE">
      <w:pPr>
        <w:rPr>
          <w:lang w:val="en-AU"/>
        </w:rPr>
      </w:pPr>
      <w:r w:rsidRPr="007B4DC7">
        <w:rPr>
          <w:lang w:val="en-AU"/>
        </w:rPr>
        <w:t>All telehealth incentives formal</w:t>
      </w:r>
      <w:r>
        <w:rPr>
          <w:lang w:val="en-AU"/>
        </w:rPr>
        <w:t>ly cease on 30</w:t>
      </w:r>
      <w:r w:rsidR="005D5FC9">
        <w:rPr>
          <w:lang w:val="en-AU"/>
        </w:rPr>
        <w:t> </w:t>
      </w:r>
      <w:r>
        <w:rPr>
          <w:lang w:val="en-AU"/>
        </w:rPr>
        <w:t>June 2014.</w:t>
      </w:r>
      <w:r w:rsidRPr="007B4DC7">
        <w:rPr>
          <w:lang w:val="en-AU"/>
        </w:rPr>
        <w:t xml:space="preserve"> </w:t>
      </w:r>
    </w:p>
    <w:p w:rsidR="00A302DE" w:rsidRPr="007B4DC7" w:rsidRDefault="00A302DE" w:rsidP="00785E80">
      <w:pPr>
        <w:rPr>
          <w:lang w:val="en-AU"/>
        </w:rPr>
      </w:pPr>
    </w:p>
    <w:p w:rsidR="00785E80" w:rsidRPr="007B4DC7" w:rsidRDefault="00785E80" w:rsidP="00785E80">
      <w:pPr>
        <w:rPr>
          <w:b/>
          <w:i/>
          <w:lang w:val="en-AU"/>
        </w:rPr>
      </w:pPr>
      <w:r w:rsidRPr="007B4DC7">
        <w:rPr>
          <w:b/>
          <w:i/>
          <w:lang w:val="en-AU"/>
        </w:rPr>
        <w:t>Reason for the change</w:t>
      </w:r>
    </w:p>
    <w:p w:rsidR="00785E80" w:rsidRPr="007B4DC7" w:rsidRDefault="00785E80" w:rsidP="00A45A72">
      <w:pPr>
        <w:rPr>
          <w:lang w:val="en-AU"/>
        </w:rPr>
      </w:pPr>
      <w:r w:rsidRPr="007B4DC7">
        <w:rPr>
          <w:lang w:val="en-AU"/>
        </w:rPr>
        <w:t>The On-Board Incentives were designed to encourage practitioners to adopt teleh</w:t>
      </w:r>
      <w:r w:rsidR="00801B10">
        <w:rPr>
          <w:lang w:val="en-AU"/>
        </w:rPr>
        <w:t>e</w:t>
      </w:r>
      <w:r w:rsidRPr="007B4DC7">
        <w:rPr>
          <w:lang w:val="en-AU"/>
        </w:rPr>
        <w:t xml:space="preserve">alth as part of their normal practice. </w:t>
      </w:r>
      <w:r w:rsidR="00A45A72">
        <w:rPr>
          <w:lang w:val="en-AU"/>
        </w:rPr>
        <w:t>The changes will encourage practitioners to embed telehealth into normal practice.</w:t>
      </w:r>
    </w:p>
    <w:p w:rsidR="00785E80" w:rsidRPr="007B4DC7" w:rsidRDefault="00785E80" w:rsidP="00785E80">
      <w:pPr>
        <w:rPr>
          <w:lang w:val="en-AU"/>
        </w:rPr>
      </w:pPr>
    </w:p>
    <w:p w:rsidR="00785E80" w:rsidRPr="007B4DC7" w:rsidRDefault="00785E80" w:rsidP="00785E80">
      <w:pPr>
        <w:rPr>
          <w:b/>
          <w:i/>
          <w:lang w:val="en-AU"/>
        </w:rPr>
      </w:pPr>
      <w:r w:rsidRPr="007B4DC7">
        <w:rPr>
          <w:b/>
          <w:i/>
          <w:lang w:val="en-AU"/>
        </w:rPr>
        <w:t>Impact on patients</w:t>
      </w:r>
    </w:p>
    <w:p w:rsidR="00A45A72" w:rsidRDefault="00785E80" w:rsidP="00785E80">
      <w:pPr>
        <w:rPr>
          <w:lang w:val="en-AU"/>
        </w:rPr>
      </w:pPr>
      <w:r w:rsidRPr="007B4DC7">
        <w:rPr>
          <w:lang w:val="en-AU"/>
        </w:rPr>
        <w:t xml:space="preserve">This change is designed to encourage practitioners to adopt telehealth as part of their </w:t>
      </w:r>
    </w:p>
    <w:p w:rsidR="00A45A72" w:rsidRDefault="00A45A72" w:rsidP="00785E80">
      <w:pPr>
        <w:rPr>
          <w:lang w:val="en-AU"/>
        </w:rPr>
      </w:pPr>
    </w:p>
    <w:p w:rsidR="00A45A72" w:rsidRDefault="00A45A72" w:rsidP="00785E80">
      <w:pPr>
        <w:rPr>
          <w:lang w:val="en-AU"/>
        </w:rPr>
      </w:pPr>
    </w:p>
    <w:p w:rsidR="00A45A72" w:rsidRDefault="00A45A72" w:rsidP="00785E80">
      <w:pPr>
        <w:rPr>
          <w:lang w:val="en-AU"/>
        </w:rPr>
      </w:pPr>
    </w:p>
    <w:p w:rsidR="00785E80" w:rsidRPr="007B4DC7" w:rsidRDefault="00785E80" w:rsidP="00785E80">
      <w:pPr>
        <w:rPr>
          <w:lang w:val="en-AU"/>
        </w:rPr>
      </w:pPr>
      <w:r w:rsidRPr="007B4DC7">
        <w:rPr>
          <w:lang w:val="en-AU"/>
        </w:rPr>
        <w:t>normal practice which should increase access to these services for eligible patients.</w:t>
      </w:r>
    </w:p>
    <w:p w:rsidR="00DF77C1" w:rsidRDefault="00DF77C1" w:rsidP="00D71422"/>
    <w:p w:rsidR="00CF0629" w:rsidRDefault="00CF0629" w:rsidP="00D71422"/>
    <w:p w:rsidR="00AD2400" w:rsidRPr="0086542D" w:rsidRDefault="00A45A72" w:rsidP="0086542D">
      <w:pPr>
        <w:rPr>
          <w:b/>
          <w:sz w:val="28"/>
          <w:szCs w:val="28"/>
          <w:lang w:val="en-AU"/>
        </w:rPr>
      </w:pPr>
      <w:r>
        <w:rPr>
          <w:b/>
          <w:sz w:val="28"/>
          <w:szCs w:val="28"/>
          <w:lang w:val="en-AU"/>
        </w:rPr>
        <w:t xml:space="preserve">2. </w:t>
      </w:r>
      <w:r w:rsidR="00AD2400" w:rsidRPr="0086542D">
        <w:rPr>
          <w:b/>
          <w:sz w:val="28"/>
          <w:szCs w:val="28"/>
          <w:lang w:val="en-AU"/>
        </w:rPr>
        <w:t>Addition of a minimum distance requirement</w:t>
      </w:r>
    </w:p>
    <w:p w:rsidR="00A45A72" w:rsidRDefault="00A45A72" w:rsidP="007B4DC7">
      <w:pPr>
        <w:rPr>
          <w:lang w:val="en-AU"/>
        </w:rPr>
      </w:pPr>
    </w:p>
    <w:p w:rsidR="007B4DC7" w:rsidRPr="007B4DC7" w:rsidRDefault="007B4DC7" w:rsidP="007B4DC7">
      <w:pPr>
        <w:rPr>
          <w:lang w:val="en-AU"/>
        </w:rPr>
      </w:pPr>
      <w:r w:rsidRPr="007B4DC7">
        <w:rPr>
          <w:lang w:val="en-AU"/>
        </w:rPr>
        <w:t xml:space="preserve">On 1 November 2012, the MBS telehealth items will be amended to require that the patient </w:t>
      </w:r>
      <w:r>
        <w:rPr>
          <w:lang w:val="en-AU"/>
        </w:rPr>
        <w:t>and</w:t>
      </w:r>
      <w:r w:rsidRPr="007B4DC7">
        <w:rPr>
          <w:lang w:val="en-AU"/>
        </w:rPr>
        <w:t xml:space="preserve"> remote specialist be at least 15</w:t>
      </w:r>
      <w:r w:rsidR="00B336CD">
        <w:rPr>
          <w:lang w:val="en-AU"/>
        </w:rPr>
        <w:t> </w:t>
      </w:r>
      <w:r w:rsidRPr="007B4DC7">
        <w:rPr>
          <w:lang w:val="en-AU"/>
        </w:rPr>
        <w:t>kilometres apart.</w:t>
      </w:r>
    </w:p>
    <w:p w:rsidR="007B4DC7" w:rsidRDefault="007B4DC7" w:rsidP="007B4DC7">
      <w:pPr>
        <w:rPr>
          <w:lang w:val="en-AU"/>
        </w:rPr>
      </w:pPr>
    </w:p>
    <w:p w:rsidR="00CF0629" w:rsidRDefault="00CF0629" w:rsidP="007B4DC7">
      <w:pPr>
        <w:rPr>
          <w:lang w:val="en-AU"/>
        </w:rPr>
      </w:pPr>
      <w:r>
        <w:rPr>
          <w:lang w:val="en-AU"/>
        </w:rPr>
        <w:t>The minimum distance requirement does not apply to residents of Aged Care Facilitie</w:t>
      </w:r>
      <w:r w:rsidR="00920678">
        <w:rPr>
          <w:lang w:val="en-AU"/>
        </w:rPr>
        <w:t>s or patients of an Aboriginal Medical S</w:t>
      </w:r>
      <w:r>
        <w:rPr>
          <w:lang w:val="en-AU"/>
        </w:rPr>
        <w:t>ervice.</w:t>
      </w:r>
    </w:p>
    <w:p w:rsidR="00CF0629" w:rsidRPr="007B4DC7" w:rsidRDefault="00CF0629" w:rsidP="007B4DC7">
      <w:pPr>
        <w:rPr>
          <w:lang w:val="en-AU"/>
        </w:rPr>
      </w:pPr>
    </w:p>
    <w:p w:rsidR="007B4DC7" w:rsidRPr="007B4DC7" w:rsidRDefault="007B4DC7" w:rsidP="007B4DC7">
      <w:pPr>
        <w:rPr>
          <w:b/>
          <w:i/>
          <w:lang w:val="en-AU"/>
        </w:rPr>
      </w:pPr>
      <w:r w:rsidRPr="007B4DC7">
        <w:rPr>
          <w:b/>
          <w:i/>
          <w:lang w:val="en-AU"/>
        </w:rPr>
        <w:t>Reason for the change</w:t>
      </w:r>
    </w:p>
    <w:p w:rsidR="007B4DC7" w:rsidRPr="007B4DC7" w:rsidRDefault="007B4DC7" w:rsidP="007B4DC7">
      <w:pPr>
        <w:rPr>
          <w:lang w:val="en-AU"/>
        </w:rPr>
      </w:pPr>
      <w:r w:rsidRPr="007B4DC7">
        <w:rPr>
          <w:lang w:val="en-AU"/>
        </w:rPr>
        <w:t xml:space="preserve">The telehealth items were introduced to provide patients in remote, regional and outer metropolitan areas with access to specialists sooner than would otherwise be the case, and without the time and expense involved in travelling to major cities. </w:t>
      </w:r>
    </w:p>
    <w:p w:rsidR="007B4DC7" w:rsidRPr="007B4DC7" w:rsidRDefault="007B4DC7" w:rsidP="007B4DC7">
      <w:pPr>
        <w:rPr>
          <w:lang w:val="en-AU"/>
        </w:rPr>
      </w:pPr>
    </w:p>
    <w:p w:rsidR="00BF5C5A" w:rsidRDefault="00230489" w:rsidP="007B4DC7">
      <w:pPr>
        <w:rPr>
          <w:lang w:val="en-AU"/>
        </w:rPr>
      </w:pPr>
      <w:r>
        <w:rPr>
          <w:lang w:val="en-AU"/>
        </w:rPr>
        <w:t>The original item structure has been successful at encouraging practitioners to provide video con</w:t>
      </w:r>
      <w:r w:rsidR="00BF5C5A">
        <w:rPr>
          <w:lang w:val="en-AU"/>
        </w:rPr>
        <w:t>sultations to eligible patients. However, this</w:t>
      </w:r>
      <w:r>
        <w:rPr>
          <w:lang w:val="en-AU"/>
        </w:rPr>
        <w:t xml:space="preserve"> </w:t>
      </w:r>
      <w:r w:rsidR="00A302DE">
        <w:rPr>
          <w:lang w:val="en-AU"/>
        </w:rPr>
        <w:t>allow</w:t>
      </w:r>
      <w:r w:rsidR="00303152">
        <w:rPr>
          <w:lang w:val="en-AU"/>
        </w:rPr>
        <w:t>s</w:t>
      </w:r>
      <w:r>
        <w:rPr>
          <w:lang w:val="en-AU"/>
        </w:rPr>
        <w:t xml:space="preserve"> doctors </w:t>
      </w:r>
      <w:r w:rsidR="00A302DE">
        <w:rPr>
          <w:lang w:val="en-AU"/>
        </w:rPr>
        <w:t>to provide</w:t>
      </w:r>
      <w:r>
        <w:rPr>
          <w:lang w:val="en-AU"/>
        </w:rPr>
        <w:t xml:space="preserve"> video consultations </w:t>
      </w:r>
      <w:r w:rsidR="00BF5C5A">
        <w:rPr>
          <w:lang w:val="en-AU"/>
        </w:rPr>
        <w:t>to a</w:t>
      </w:r>
      <w:r>
        <w:rPr>
          <w:lang w:val="en-AU"/>
        </w:rPr>
        <w:t xml:space="preserve"> patient </w:t>
      </w:r>
      <w:r w:rsidR="00BF5C5A">
        <w:rPr>
          <w:lang w:val="en-AU"/>
        </w:rPr>
        <w:t xml:space="preserve">who </w:t>
      </w:r>
      <w:r>
        <w:rPr>
          <w:lang w:val="en-AU"/>
        </w:rPr>
        <w:t>is near to the specialist</w:t>
      </w:r>
      <w:r w:rsidR="00A302DE">
        <w:rPr>
          <w:lang w:val="en-AU"/>
        </w:rPr>
        <w:t xml:space="preserve"> </w:t>
      </w:r>
      <w:r w:rsidR="00BF5C5A">
        <w:rPr>
          <w:lang w:val="en-AU"/>
        </w:rPr>
        <w:t>when it could be more appropriate to have a</w:t>
      </w:r>
      <w:r w:rsidR="00A302DE">
        <w:rPr>
          <w:lang w:val="en-AU"/>
        </w:rPr>
        <w:t xml:space="preserve"> face-to-face</w:t>
      </w:r>
      <w:r w:rsidR="00BF5C5A">
        <w:rPr>
          <w:lang w:val="en-AU"/>
        </w:rPr>
        <w:t xml:space="preserve"> consultation</w:t>
      </w:r>
      <w:r>
        <w:rPr>
          <w:lang w:val="en-AU"/>
        </w:rPr>
        <w:t>.</w:t>
      </w:r>
      <w:r w:rsidR="007B4DC7" w:rsidRPr="007B4DC7">
        <w:rPr>
          <w:lang w:val="en-AU"/>
        </w:rPr>
        <w:t xml:space="preserve"> </w:t>
      </w:r>
    </w:p>
    <w:p w:rsidR="00BF5C5A" w:rsidRDefault="00BF5C5A" w:rsidP="007B4DC7">
      <w:pPr>
        <w:rPr>
          <w:lang w:val="en-AU"/>
        </w:rPr>
      </w:pPr>
    </w:p>
    <w:p w:rsidR="007B4DC7" w:rsidRPr="007B4DC7" w:rsidRDefault="007B4DC7" w:rsidP="007B4DC7">
      <w:pPr>
        <w:rPr>
          <w:lang w:val="en-AU"/>
        </w:rPr>
      </w:pPr>
      <w:r w:rsidRPr="007B4DC7">
        <w:rPr>
          <w:lang w:val="en-AU"/>
        </w:rPr>
        <w:t xml:space="preserve">The introduction of a 15 kilometre distance requirement better ensures that funding is targeted at patients </w:t>
      </w:r>
      <w:r w:rsidR="00230489">
        <w:rPr>
          <w:lang w:val="en-AU"/>
        </w:rPr>
        <w:t>for whom d</w:t>
      </w:r>
      <w:r w:rsidRPr="007B4DC7">
        <w:rPr>
          <w:lang w:val="en-AU"/>
        </w:rPr>
        <w:t xml:space="preserve">istance </w:t>
      </w:r>
      <w:r w:rsidR="00230489">
        <w:rPr>
          <w:lang w:val="en-AU"/>
        </w:rPr>
        <w:t>is a genuine barrier</w:t>
      </w:r>
      <w:r w:rsidRPr="007B4DC7">
        <w:rPr>
          <w:lang w:val="en-AU"/>
        </w:rPr>
        <w:t xml:space="preserve"> to ac</w:t>
      </w:r>
      <w:r w:rsidR="00230489">
        <w:rPr>
          <w:lang w:val="en-AU"/>
        </w:rPr>
        <w:t>cessing specialist care</w:t>
      </w:r>
      <w:r w:rsidRPr="007B4DC7">
        <w:rPr>
          <w:lang w:val="en-AU"/>
        </w:rPr>
        <w:t xml:space="preserve">. </w:t>
      </w:r>
    </w:p>
    <w:p w:rsidR="007B4DC7" w:rsidRPr="007B4DC7" w:rsidRDefault="007B4DC7" w:rsidP="007B4DC7">
      <w:pPr>
        <w:rPr>
          <w:lang w:val="en-AU"/>
        </w:rPr>
      </w:pPr>
    </w:p>
    <w:p w:rsidR="007B4DC7" w:rsidRPr="007B4DC7" w:rsidRDefault="007B4DC7" w:rsidP="007B4DC7">
      <w:pPr>
        <w:rPr>
          <w:b/>
          <w:i/>
          <w:lang w:val="en-AU"/>
        </w:rPr>
      </w:pPr>
      <w:r w:rsidRPr="007B4DC7">
        <w:rPr>
          <w:b/>
          <w:i/>
          <w:lang w:val="en-AU"/>
        </w:rPr>
        <w:t>Impact on patients</w:t>
      </w:r>
    </w:p>
    <w:p w:rsidR="00EA6736" w:rsidRPr="007B4DC7" w:rsidRDefault="007B4DC7" w:rsidP="007B4DC7">
      <w:pPr>
        <w:rPr>
          <w:lang w:val="en-AU"/>
        </w:rPr>
        <w:sectPr w:rsidR="00EA6736" w:rsidRPr="007B4DC7" w:rsidSect="00A45A72">
          <w:footerReference w:type="even" r:id="rId8"/>
          <w:footerReference w:type="default" r:id="rId9"/>
          <w:headerReference w:type="first" r:id="rId10"/>
          <w:type w:val="continuous"/>
          <w:pgSz w:w="11906" w:h="16838" w:code="9"/>
          <w:pgMar w:top="1440" w:right="1133" w:bottom="719" w:left="969" w:header="539" w:footer="709" w:gutter="0"/>
          <w:pgBorders w:offsetFrom="page">
            <w:top w:val="single" w:sz="4" w:space="24" w:color="auto"/>
            <w:left w:val="single" w:sz="4" w:space="24" w:color="auto"/>
            <w:bottom w:val="single" w:sz="4" w:space="24" w:color="auto"/>
            <w:right w:val="single" w:sz="4" w:space="24" w:color="auto"/>
          </w:pgBorders>
          <w:pgNumType w:start="1"/>
          <w:cols w:num="2" w:space="968"/>
          <w:titlePg/>
          <w:docGrid w:linePitch="360"/>
        </w:sectPr>
      </w:pPr>
      <w:r w:rsidRPr="007B4DC7">
        <w:rPr>
          <w:lang w:val="en-AU"/>
        </w:rPr>
        <w:t>The only patients who may be affected are those are within 15 kilometres of the relevant specialist, and are unable to p</w:t>
      </w:r>
      <w:r w:rsidR="00CF0629">
        <w:rPr>
          <w:lang w:val="en-AU"/>
        </w:rPr>
        <w:t>hysically attend a consultation.</w:t>
      </w:r>
    </w:p>
    <w:p w:rsidR="00785E80" w:rsidRDefault="00785E80" w:rsidP="008B7F17">
      <w:pPr>
        <w:rPr>
          <w:lang w:val="en-AU"/>
        </w:rPr>
      </w:pPr>
    </w:p>
    <w:sectPr w:rsidR="00785E80" w:rsidSect="00707FD8">
      <w:type w:val="continuous"/>
      <w:pgSz w:w="11906" w:h="16838"/>
      <w:pgMar w:top="1440" w:right="1440" w:bottom="1440" w:left="912" w:header="708" w:footer="708" w:gutter="0"/>
      <w:pgBorders w:offsetFrom="page">
        <w:top w:val="single" w:sz="4" w:space="24" w:color="auto"/>
        <w:left w:val="single" w:sz="4" w:space="24" w:color="auto"/>
        <w:bottom w:val="single" w:sz="4" w:space="24" w:color="auto"/>
        <w:right w:val="single" w:sz="4" w:space="24" w:color="auto"/>
      </w:pgBorders>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BB5" w:rsidRDefault="004C4BB5">
      <w:r>
        <w:separator/>
      </w:r>
    </w:p>
  </w:endnote>
  <w:endnote w:type="continuationSeparator" w:id="0">
    <w:p w:rsidR="004C4BB5" w:rsidRDefault="004C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05" w:rsidRDefault="006F5605" w:rsidP="00707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5605" w:rsidRDefault="006F56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05" w:rsidRDefault="006F5605" w:rsidP="00707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0629">
      <w:rPr>
        <w:rStyle w:val="PageNumber"/>
        <w:noProof/>
      </w:rPr>
      <w:t>2</w:t>
    </w:r>
    <w:r>
      <w:rPr>
        <w:rStyle w:val="PageNumber"/>
      </w:rPr>
      <w:fldChar w:fldCharType="end"/>
    </w:r>
  </w:p>
  <w:p w:rsidR="006F5605" w:rsidRDefault="006F5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BB5" w:rsidRDefault="004C4BB5">
      <w:r>
        <w:separator/>
      </w:r>
    </w:p>
  </w:footnote>
  <w:footnote w:type="continuationSeparator" w:id="0">
    <w:p w:rsidR="004C4BB5" w:rsidRDefault="004C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05" w:rsidRDefault="006F5605" w:rsidP="00FD314D">
    <w:pPr>
      <w:pBdr>
        <w:top w:val="single" w:sz="4" w:space="1" w:color="auto"/>
        <w:left w:val="single" w:sz="4" w:space="4" w:color="auto"/>
        <w:bottom w:val="single" w:sz="4" w:space="1" w:color="auto"/>
        <w:right w:val="single" w:sz="4" w:space="4" w:color="auto"/>
      </w:pBdr>
      <w:rPr>
        <w:lang w:val="en-AU"/>
      </w:rPr>
    </w:pPr>
  </w:p>
  <w:p w:rsidR="006F5605" w:rsidRDefault="006F5605" w:rsidP="00FD314D">
    <w:pPr>
      <w:pBdr>
        <w:top w:val="single" w:sz="4" w:space="1" w:color="auto"/>
        <w:left w:val="single" w:sz="4" w:space="4" w:color="auto"/>
        <w:bottom w:val="single" w:sz="4" w:space="1" w:color="auto"/>
        <w:right w:val="single" w:sz="4" w:space="4" w:color="auto"/>
      </w:pBdr>
      <w:tabs>
        <w:tab w:val="left" w:pos="1290"/>
        <w:tab w:val="center" w:pos="4513"/>
      </w:tabs>
      <w:jc w:val="center"/>
      <w:rPr>
        <w:rFonts w:ascii="Verdana" w:hAnsi="Verdana"/>
        <w:b/>
        <w:sz w:val="52"/>
        <w:szCs w:val="52"/>
        <w:lang w:val="en-AU"/>
      </w:rPr>
    </w:pPr>
    <w:r w:rsidRPr="002D0159">
      <w:rPr>
        <w:rFonts w:ascii="Verdana" w:hAnsi="Verdana"/>
        <w:b/>
        <w:sz w:val="52"/>
        <w:szCs w:val="52"/>
        <w:lang w:val="en-AU"/>
      </w:rPr>
      <w:t>Telehealth</w:t>
    </w:r>
  </w:p>
  <w:p w:rsidR="006F5605" w:rsidRPr="00AD2400" w:rsidRDefault="006F5605" w:rsidP="00FD314D">
    <w:pPr>
      <w:pBdr>
        <w:top w:val="single" w:sz="4" w:space="1" w:color="auto"/>
        <w:left w:val="single" w:sz="4" w:space="4" w:color="auto"/>
        <w:bottom w:val="single" w:sz="4" w:space="1" w:color="auto"/>
        <w:right w:val="single" w:sz="4" w:space="4" w:color="auto"/>
      </w:pBdr>
      <w:tabs>
        <w:tab w:val="left" w:pos="1290"/>
        <w:tab w:val="center" w:pos="4513"/>
      </w:tabs>
      <w:jc w:val="center"/>
      <w:rPr>
        <w:rFonts w:ascii="Verdana" w:hAnsi="Verdana"/>
        <w:b/>
        <w:sz w:val="40"/>
        <w:szCs w:val="40"/>
        <w:lang w:val="en-AU"/>
      </w:rPr>
    </w:pPr>
    <w:r>
      <w:rPr>
        <w:rFonts w:ascii="Verdana" w:hAnsi="Verdana"/>
        <w:b/>
        <w:sz w:val="40"/>
        <w:szCs w:val="40"/>
        <w:lang w:val="en-AU"/>
      </w:rPr>
      <w:t>Changes announced in the 2012-13</w:t>
    </w:r>
    <w:r w:rsidRPr="00AD2400">
      <w:rPr>
        <w:rFonts w:ascii="Verdana" w:hAnsi="Verdana"/>
        <w:b/>
        <w:sz w:val="40"/>
        <w:szCs w:val="40"/>
        <w:lang w:val="en-AU"/>
      </w:rPr>
      <w:t xml:space="preserve"> Budget</w:t>
    </w:r>
  </w:p>
  <w:p w:rsidR="006F5605" w:rsidRDefault="006F5605" w:rsidP="00FD314D">
    <w:pPr>
      <w:pStyle w:val="Header"/>
      <w:pBdr>
        <w:top w:val="single" w:sz="4" w:space="1" w:color="auto"/>
        <w:left w:val="single" w:sz="4" w:space="4" w:color="auto"/>
        <w:bottom w:val="single" w:sz="4" w:space="1" w:color="auto"/>
        <w:right w:val="single" w:sz="4" w:space="4"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3D09"/>
    <w:multiLevelType w:val="hybridMultilevel"/>
    <w:tmpl w:val="9D147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883A4F"/>
    <w:multiLevelType w:val="multilevel"/>
    <w:tmpl w:val="39A62330"/>
    <w:lvl w:ilvl="0">
      <w:start w:val="1"/>
      <w:numFmt w:val="none"/>
      <w:lvlText w:val=""/>
      <w:lvlJc w:val="left"/>
      <w:pPr>
        <w:tabs>
          <w:tab w:val="num" w:pos="432"/>
        </w:tabs>
        <w:ind w:left="432" w:hanging="432"/>
      </w:pPr>
      <w:rPr>
        <w:rFonts w:cs="Times New Roman" w:hint="default"/>
      </w:rPr>
    </w:lvl>
    <w:lvl w:ilvl="1">
      <w:start w:val="1"/>
      <w:numFmt w:val="decimal"/>
      <w:pStyle w:val="Heading2"/>
      <w:lvlText w:val="%2"/>
      <w:lvlJc w:val="left"/>
      <w:pPr>
        <w:tabs>
          <w:tab w:val="num" w:pos="567"/>
        </w:tabs>
        <w:ind w:left="567" w:hanging="567"/>
      </w:pPr>
      <w:rPr>
        <w:rFonts w:cs="Times New Roman" w:hint="default"/>
      </w:rPr>
    </w:lvl>
    <w:lvl w:ilvl="2">
      <w:start w:val="1"/>
      <w:numFmt w:val="decimal"/>
      <w:pStyle w:val="Heading3"/>
      <w:lvlText w:val="%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lvlText w:val=""/>
      <w:lvlJc w:val="left"/>
      <w:pPr>
        <w:tabs>
          <w:tab w:val="num" w:pos="0"/>
        </w:tabs>
      </w:pPr>
      <w:rPr>
        <w:rFonts w:cs="Times New Roman" w:hint="default"/>
      </w:rPr>
    </w:lvl>
    <w:lvl w:ilvl="5">
      <w:start w:val="1"/>
      <w:numFmt w:val="decimal"/>
      <w:pStyle w:val="Heading6"/>
      <w:lvlText w:val="%2.%3.%4.%5.%6"/>
      <w:lvlJc w:val="left"/>
      <w:pPr>
        <w:tabs>
          <w:tab w:val="num" w:pos="1152"/>
        </w:tabs>
        <w:ind w:left="1152" w:firstLine="3101"/>
      </w:pPr>
      <w:rPr>
        <w:rFonts w:cs="Times New Roman" w:hint="default"/>
      </w:rPr>
    </w:lvl>
    <w:lvl w:ilvl="6">
      <w:start w:val="1"/>
      <w:numFmt w:val="decimal"/>
      <w:pStyle w:val="Heading7"/>
      <w:lvlText w:val="%2.%3.%4.%5.%6.%7"/>
      <w:lvlJc w:val="left"/>
      <w:pPr>
        <w:tabs>
          <w:tab w:val="num" w:pos="1296"/>
        </w:tabs>
        <w:ind w:left="1296" w:firstLine="3807"/>
      </w:pPr>
      <w:rPr>
        <w:rFonts w:cs="Times New Roman" w:hint="default"/>
      </w:rPr>
    </w:lvl>
    <w:lvl w:ilvl="7">
      <w:start w:val="1"/>
      <w:numFmt w:val="decimal"/>
      <w:pStyle w:val="Heading8"/>
      <w:lvlText w:val="%1%2.%3.%4.%5.%6.%7.%8"/>
      <w:lvlJc w:val="left"/>
      <w:pPr>
        <w:tabs>
          <w:tab w:val="num" w:pos="1440"/>
        </w:tabs>
        <w:ind w:left="1440" w:firstLine="423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nsid w:val="2B035C2F"/>
    <w:multiLevelType w:val="hybridMultilevel"/>
    <w:tmpl w:val="910E442C"/>
    <w:lvl w:ilvl="0" w:tplc="9668ACAC">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3201E7E"/>
    <w:multiLevelType w:val="hybridMultilevel"/>
    <w:tmpl w:val="F8A44780"/>
    <w:lvl w:ilvl="0" w:tplc="84ECB266">
      <w:start w:val="1"/>
      <w:numFmt w:val="bullet"/>
      <w:lvlText w:val=""/>
      <w:lvlJc w:val="left"/>
      <w:pPr>
        <w:tabs>
          <w:tab w:val="num" w:pos="2072"/>
        </w:tabs>
        <w:ind w:left="2072" w:hanging="425"/>
      </w:pPr>
      <w:rPr>
        <w:rFonts w:ascii="Wingdings" w:hAnsi="Wingdings"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446111EA"/>
    <w:multiLevelType w:val="hybridMultilevel"/>
    <w:tmpl w:val="CA8C0E74"/>
    <w:lvl w:ilvl="0" w:tplc="0409000F">
      <w:start w:val="1"/>
      <w:numFmt w:val="decimal"/>
      <w:lvlText w:val="%1."/>
      <w:lvlJc w:val="left"/>
      <w:pPr>
        <w:tabs>
          <w:tab w:val="num" w:pos="1080"/>
        </w:tabs>
        <w:ind w:left="1080" w:hanging="360"/>
      </w:pPr>
      <w:rPr>
        <w:rFonts w:cs="Times New Roman"/>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511F4900"/>
    <w:multiLevelType w:val="hybridMultilevel"/>
    <w:tmpl w:val="A4421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BE35076"/>
    <w:multiLevelType w:val="hybridMultilevel"/>
    <w:tmpl w:val="FD00B4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006906"/>
    <w:multiLevelType w:val="hybridMultilevel"/>
    <w:tmpl w:val="82EAB1AC"/>
    <w:lvl w:ilvl="0" w:tplc="CBA29154">
      <w:start w:val="1"/>
      <w:numFmt w:val="bullet"/>
      <w:lvlText w:val=""/>
      <w:lvlJc w:val="left"/>
      <w:pPr>
        <w:tabs>
          <w:tab w:val="num" w:pos="284"/>
        </w:tabs>
        <w:ind w:left="284" w:hanging="284"/>
      </w:pPr>
      <w:rPr>
        <w:rFonts w:ascii="Symbol" w:hAnsi="Symbol" w:hint="default"/>
      </w:rPr>
    </w:lvl>
    <w:lvl w:ilvl="1" w:tplc="805A605C">
      <w:numFmt w:val="bullet"/>
      <w:lvlText w:val="-"/>
      <w:lvlJc w:val="left"/>
      <w:pPr>
        <w:tabs>
          <w:tab w:val="num" w:pos="2055"/>
        </w:tabs>
        <w:ind w:left="2055" w:hanging="97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39758CA"/>
    <w:multiLevelType w:val="hybridMultilevel"/>
    <w:tmpl w:val="2CCE376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65216FE3"/>
    <w:multiLevelType w:val="hybridMultilevel"/>
    <w:tmpl w:val="41281D8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FC36426"/>
    <w:multiLevelType w:val="hybridMultilevel"/>
    <w:tmpl w:val="98BA81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7"/>
  </w:num>
  <w:num w:numId="3">
    <w:abstractNumId w:val="3"/>
  </w:num>
  <w:num w:numId="4">
    <w:abstractNumId w:val="2"/>
  </w:num>
  <w:num w:numId="5">
    <w:abstractNumId w:val="0"/>
  </w:num>
  <w:num w:numId="6">
    <w:abstractNumId w:val="5"/>
  </w:num>
  <w:num w:numId="7">
    <w:abstractNumId w:val="4"/>
  </w:num>
  <w:num w:numId="8">
    <w:abstractNumId w:val="6"/>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159"/>
    <w:rsid w:val="00004C2F"/>
    <w:rsid w:val="00013C5D"/>
    <w:rsid w:val="00061549"/>
    <w:rsid w:val="00090A1E"/>
    <w:rsid w:val="000A221D"/>
    <w:rsid w:val="000C1D8B"/>
    <w:rsid w:val="0010107B"/>
    <w:rsid w:val="001269BD"/>
    <w:rsid w:val="001340EA"/>
    <w:rsid w:val="001771EA"/>
    <w:rsid w:val="00183F4D"/>
    <w:rsid w:val="001A1080"/>
    <w:rsid w:val="001B72E9"/>
    <w:rsid w:val="001D1D45"/>
    <w:rsid w:val="002069FD"/>
    <w:rsid w:val="00230489"/>
    <w:rsid w:val="00234E04"/>
    <w:rsid w:val="0027378D"/>
    <w:rsid w:val="0028311E"/>
    <w:rsid w:val="002D0159"/>
    <w:rsid w:val="002F3E1A"/>
    <w:rsid w:val="00303152"/>
    <w:rsid w:val="003276AC"/>
    <w:rsid w:val="00365947"/>
    <w:rsid w:val="003F1F8D"/>
    <w:rsid w:val="003F2414"/>
    <w:rsid w:val="00432BE4"/>
    <w:rsid w:val="00445BF9"/>
    <w:rsid w:val="00452147"/>
    <w:rsid w:val="00475D88"/>
    <w:rsid w:val="004A4CF5"/>
    <w:rsid w:val="004A7369"/>
    <w:rsid w:val="004C4BB5"/>
    <w:rsid w:val="004E4754"/>
    <w:rsid w:val="00545912"/>
    <w:rsid w:val="00586F2A"/>
    <w:rsid w:val="005D5FC9"/>
    <w:rsid w:val="005E1747"/>
    <w:rsid w:val="005F1D25"/>
    <w:rsid w:val="005F3F4D"/>
    <w:rsid w:val="00670E77"/>
    <w:rsid w:val="0067181E"/>
    <w:rsid w:val="006C1965"/>
    <w:rsid w:val="006C43E6"/>
    <w:rsid w:val="006E4D28"/>
    <w:rsid w:val="006F5605"/>
    <w:rsid w:val="00707FD8"/>
    <w:rsid w:val="00731C60"/>
    <w:rsid w:val="00754741"/>
    <w:rsid w:val="00785E80"/>
    <w:rsid w:val="007B4DC7"/>
    <w:rsid w:val="007B62E9"/>
    <w:rsid w:val="007D43C6"/>
    <w:rsid w:val="00801B10"/>
    <w:rsid w:val="00860E6A"/>
    <w:rsid w:val="0086542D"/>
    <w:rsid w:val="008A5F9B"/>
    <w:rsid w:val="008B7F17"/>
    <w:rsid w:val="008C7BA8"/>
    <w:rsid w:val="00920678"/>
    <w:rsid w:val="009620DC"/>
    <w:rsid w:val="00967A10"/>
    <w:rsid w:val="0097060F"/>
    <w:rsid w:val="00992454"/>
    <w:rsid w:val="009A601B"/>
    <w:rsid w:val="009B128A"/>
    <w:rsid w:val="009E786F"/>
    <w:rsid w:val="00A101D0"/>
    <w:rsid w:val="00A302DE"/>
    <w:rsid w:val="00A45A72"/>
    <w:rsid w:val="00A551BC"/>
    <w:rsid w:val="00AC09A5"/>
    <w:rsid w:val="00AD2400"/>
    <w:rsid w:val="00AD4855"/>
    <w:rsid w:val="00B008CF"/>
    <w:rsid w:val="00B17EF2"/>
    <w:rsid w:val="00B336CD"/>
    <w:rsid w:val="00B37EA7"/>
    <w:rsid w:val="00B4475A"/>
    <w:rsid w:val="00B641B0"/>
    <w:rsid w:val="00B974EE"/>
    <w:rsid w:val="00BB3658"/>
    <w:rsid w:val="00BC32C4"/>
    <w:rsid w:val="00BF5C5A"/>
    <w:rsid w:val="00C11EFD"/>
    <w:rsid w:val="00C753EE"/>
    <w:rsid w:val="00C942CA"/>
    <w:rsid w:val="00C973BC"/>
    <w:rsid w:val="00CA1466"/>
    <w:rsid w:val="00CD4F3E"/>
    <w:rsid w:val="00CF0067"/>
    <w:rsid w:val="00CF0629"/>
    <w:rsid w:val="00D64080"/>
    <w:rsid w:val="00D71422"/>
    <w:rsid w:val="00D77075"/>
    <w:rsid w:val="00D84A73"/>
    <w:rsid w:val="00DD1412"/>
    <w:rsid w:val="00DE0AE9"/>
    <w:rsid w:val="00DE26C0"/>
    <w:rsid w:val="00DF0950"/>
    <w:rsid w:val="00DF77C1"/>
    <w:rsid w:val="00E25850"/>
    <w:rsid w:val="00E27A70"/>
    <w:rsid w:val="00E405C5"/>
    <w:rsid w:val="00EA6736"/>
    <w:rsid w:val="00EE7E5A"/>
    <w:rsid w:val="00F071A9"/>
    <w:rsid w:val="00F632E7"/>
    <w:rsid w:val="00F7577D"/>
    <w:rsid w:val="00F7612F"/>
    <w:rsid w:val="00FD31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val="en-US" w:eastAsia="en-US"/>
    </w:rPr>
  </w:style>
  <w:style w:type="paragraph" w:styleId="Heading2">
    <w:name w:val="heading 2"/>
    <w:basedOn w:val="Normal"/>
    <w:next w:val="Normal"/>
    <w:link w:val="Heading2Char"/>
    <w:uiPriority w:val="99"/>
    <w:qFormat/>
    <w:rsid w:val="00AD2400"/>
    <w:pPr>
      <w:keepNext/>
      <w:numPr>
        <w:ilvl w:val="1"/>
        <w:numId w:val="1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D2400"/>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AD2400"/>
    <w:pPr>
      <w:keepNext/>
      <w:numPr>
        <w:ilvl w:val="3"/>
        <w:numId w:val="11"/>
      </w:numPr>
      <w:spacing w:before="240" w:after="60"/>
      <w:outlineLvl w:val="3"/>
    </w:pPr>
    <w:rPr>
      <w:rFonts w:ascii="Arial" w:hAnsi="Arial" w:cs="Arial"/>
      <w:u w:val="single"/>
    </w:rPr>
  </w:style>
  <w:style w:type="paragraph" w:styleId="Heading5">
    <w:name w:val="heading 5"/>
    <w:basedOn w:val="Heading4"/>
    <w:next w:val="Normal"/>
    <w:link w:val="Heading5Char"/>
    <w:uiPriority w:val="99"/>
    <w:qFormat/>
    <w:rsid w:val="00AD2400"/>
    <w:pPr>
      <w:numPr>
        <w:ilvl w:val="4"/>
      </w:numPr>
      <w:outlineLvl w:val="4"/>
    </w:pPr>
    <w:rPr>
      <w:rFonts w:ascii="Times New Roman" w:hAnsi="Times New Roman" w:cs="Times New Roman"/>
    </w:rPr>
  </w:style>
  <w:style w:type="paragraph" w:styleId="Heading6">
    <w:name w:val="heading 6"/>
    <w:basedOn w:val="Normal"/>
    <w:next w:val="Normal"/>
    <w:link w:val="Heading6Char"/>
    <w:uiPriority w:val="99"/>
    <w:qFormat/>
    <w:rsid w:val="00AD2400"/>
    <w:pPr>
      <w:numPr>
        <w:ilvl w:val="5"/>
        <w:numId w:val="11"/>
      </w:numPr>
      <w:spacing w:before="240" w:after="60"/>
      <w:outlineLvl w:val="5"/>
    </w:pPr>
    <w:rPr>
      <w:b/>
      <w:bCs/>
      <w:sz w:val="22"/>
      <w:szCs w:val="22"/>
    </w:rPr>
  </w:style>
  <w:style w:type="paragraph" w:styleId="Heading7">
    <w:name w:val="heading 7"/>
    <w:basedOn w:val="Normal"/>
    <w:next w:val="Normal"/>
    <w:link w:val="Heading7Char"/>
    <w:uiPriority w:val="99"/>
    <w:qFormat/>
    <w:rsid w:val="00AD2400"/>
    <w:pPr>
      <w:numPr>
        <w:ilvl w:val="6"/>
        <w:numId w:val="11"/>
      </w:numPr>
      <w:spacing w:before="240" w:after="60"/>
      <w:outlineLvl w:val="6"/>
    </w:pPr>
  </w:style>
  <w:style w:type="paragraph" w:styleId="Heading8">
    <w:name w:val="heading 8"/>
    <w:basedOn w:val="Normal"/>
    <w:next w:val="Normal"/>
    <w:link w:val="Heading8Char"/>
    <w:uiPriority w:val="99"/>
    <w:qFormat/>
    <w:rsid w:val="00AD2400"/>
    <w:pPr>
      <w:numPr>
        <w:ilvl w:val="7"/>
        <w:numId w:val="11"/>
      </w:numPr>
      <w:spacing w:before="240" w:after="60"/>
      <w:outlineLvl w:val="7"/>
    </w:pPr>
    <w:rPr>
      <w:i/>
      <w:iCs/>
    </w:rPr>
  </w:style>
  <w:style w:type="paragraph" w:styleId="Heading9">
    <w:name w:val="heading 9"/>
    <w:basedOn w:val="Normal"/>
    <w:next w:val="Normal"/>
    <w:link w:val="Heading9Char"/>
    <w:uiPriority w:val="99"/>
    <w:qFormat/>
    <w:rsid w:val="00AD2400"/>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US"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n-US"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en-US"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en-US"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en-US"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en-US" w:eastAsia="en-US"/>
    </w:rPr>
  </w:style>
  <w:style w:type="paragraph" w:styleId="Header">
    <w:name w:val="header"/>
    <w:basedOn w:val="Normal"/>
    <w:link w:val="HeaderChar"/>
    <w:uiPriority w:val="99"/>
    <w:rsid w:val="002D015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2D015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paragraph" w:styleId="BalloonText">
    <w:name w:val="Balloon Text"/>
    <w:basedOn w:val="Normal"/>
    <w:link w:val="BalloonTextChar"/>
    <w:uiPriority w:val="99"/>
    <w:semiHidden/>
    <w:rsid w:val="002D01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paragraph" w:styleId="NormalWeb">
    <w:name w:val="Normal (Web)"/>
    <w:basedOn w:val="Normal"/>
    <w:uiPriority w:val="99"/>
    <w:rsid w:val="001771EA"/>
    <w:pPr>
      <w:spacing w:before="100" w:beforeAutospacing="1" w:after="100" w:afterAutospacing="1"/>
    </w:pPr>
    <w:rPr>
      <w:color w:val="000000"/>
    </w:rPr>
  </w:style>
  <w:style w:type="table" w:styleId="TableGrid">
    <w:name w:val="Table Grid"/>
    <w:basedOn w:val="TableNormal"/>
    <w:uiPriority w:val="99"/>
    <w:rsid w:val="00B641B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A6736"/>
    <w:rPr>
      <w:rFonts w:cs="Times New Roman"/>
      <w:color w:val="0000FF"/>
      <w:u w:val="single"/>
    </w:rPr>
  </w:style>
  <w:style w:type="character" w:styleId="PageNumber">
    <w:name w:val="page number"/>
    <w:basedOn w:val="DefaultParagraphFont"/>
    <w:uiPriority w:val="99"/>
    <w:rsid w:val="00FD314D"/>
    <w:rPr>
      <w:rFonts w:cs="Times New Roman"/>
    </w:rPr>
  </w:style>
  <w:style w:type="table" w:customStyle="1" w:styleId="TableGrid1">
    <w:name w:val="Table Grid1"/>
    <w:uiPriority w:val="99"/>
    <w:rsid w:val="00AD240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val="en-US" w:eastAsia="en-US"/>
    </w:rPr>
  </w:style>
  <w:style w:type="paragraph" w:styleId="Heading2">
    <w:name w:val="heading 2"/>
    <w:basedOn w:val="Normal"/>
    <w:next w:val="Normal"/>
    <w:link w:val="Heading2Char"/>
    <w:uiPriority w:val="99"/>
    <w:qFormat/>
    <w:rsid w:val="00AD2400"/>
    <w:pPr>
      <w:keepNext/>
      <w:numPr>
        <w:ilvl w:val="1"/>
        <w:numId w:val="1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D2400"/>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AD2400"/>
    <w:pPr>
      <w:keepNext/>
      <w:numPr>
        <w:ilvl w:val="3"/>
        <w:numId w:val="11"/>
      </w:numPr>
      <w:spacing w:before="240" w:after="60"/>
      <w:outlineLvl w:val="3"/>
    </w:pPr>
    <w:rPr>
      <w:rFonts w:ascii="Arial" w:hAnsi="Arial" w:cs="Arial"/>
      <w:u w:val="single"/>
    </w:rPr>
  </w:style>
  <w:style w:type="paragraph" w:styleId="Heading5">
    <w:name w:val="heading 5"/>
    <w:basedOn w:val="Heading4"/>
    <w:next w:val="Normal"/>
    <w:link w:val="Heading5Char"/>
    <w:uiPriority w:val="99"/>
    <w:qFormat/>
    <w:rsid w:val="00AD2400"/>
    <w:pPr>
      <w:numPr>
        <w:ilvl w:val="4"/>
      </w:numPr>
      <w:outlineLvl w:val="4"/>
    </w:pPr>
    <w:rPr>
      <w:rFonts w:ascii="Times New Roman" w:hAnsi="Times New Roman" w:cs="Times New Roman"/>
    </w:rPr>
  </w:style>
  <w:style w:type="paragraph" w:styleId="Heading6">
    <w:name w:val="heading 6"/>
    <w:basedOn w:val="Normal"/>
    <w:next w:val="Normal"/>
    <w:link w:val="Heading6Char"/>
    <w:uiPriority w:val="99"/>
    <w:qFormat/>
    <w:rsid w:val="00AD2400"/>
    <w:pPr>
      <w:numPr>
        <w:ilvl w:val="5"/>
        <w:numId w:val="11"/>
      </w:numPr>
      <w:spacing w:before="240" w:after="60"/>
      <w:outlineLvl w:val="5"/>
    </w:pPr>
    <w:rPr>
      <w:b/>
      <w:bCs/>
      <w:sz w:val="22"/>
      <w:szCs w:val="22"/>
    </w:rPr>
  </w:style>
  <w:style w:type="paragraph" w:styleId="Heading7">
    <w:name w:val="heading 7"/>
    <w:basedOn w:val="Normal"/>
    <w:next w:val="Normal"/>
    <w:link w:val="Heading7Char"/>
    <w:uiPriority w:val="99"/>
    <w:qFormat/>
    <w:rsid w:val="00AD2400"/>
    <w:pPr>
      <w:numPr>
        <w:ilvl w:val="6"/>
        <w:numId w:val="11"/>
      </w:numPr>
      <w:spacing w:before="240" w:after="60"/>
      <w:outlineLvl w:val="6"/>
    </w:pPr>
  </w:style>
  <w:style w:type="paragraph" w:styleId="Heading8">
    <w:name w:val="heading 8"/>
    <w:basedOn w:val="Normal"/>
    <w:next w:val="Normal"/>
    <w:link w:val="Heading8Char"/>
    <w:uiPriority w:val="99"/>
    <w:qFormat/>
    <w:rsid w:val="00AD2400"/>
    <w:pPr>
      <w:numPr>
        <w:ilvl w:val="7"/>
        <w:numId w:val="11"/>
      </w:numPr>
      <w:spacing w:before="240" w:after="60"/>
      <w:outlineLvl w:val="7"/>
    </w:pPr>
    <w:rPr>
      <w:i/>
      <w:iCs/>
    </w:rPr>
  </w:style>
  <w:style w:type="paragraph" w:styleId="Heading9">
    <w:name w:val="heading 9"/>
    <w:basedOn w:val="Normal"/>
    <w:next w:val="Normal"/>
    <w:link w:val="Heading9Char"/>
    <w:uiPriority w:val="99"/>
    <w:qFormat/>
    <w:rsid w:val="00AD2400"/>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US"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US"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n-US"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en-US"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en-US"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en-US"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en-US" w:eastAsia="en-US"/>
    </w:rPr>
  </w:style>
  <w:style w:type="paragraph" w:styleId="Header">
    <w:name w:val="header"/>
    <w:basedOn w:val="Normal"/>
    <w:link w:val="HeaderChar"/>
    <w:uiPriority w:val="99"/>
    <w:rsid w:val="002D015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2D015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paragraph" w:styleId="BalloonText">
    <w:name w:val="Balloon Text"/>
    <w:basedOn w:val="Normal"/>
    <w:link w:val="BalloonTextChar"/>
    <w:uiPriority w:val="99"/>
    <w:semiHidden/>
    <w:rsid w:val="002D01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paragraph" w:styleId="NormalWeb">
    <w:name w:val="Normal (Web)"/>
    <w:basedOn w:val="Normal"/>
    <w:uiPriority w:val="99"/>
    <w:rsid w:val="001771EA"/>
    <w:pPr>
      <w:spacing w:before="100" w:beforeAutospacing="1" w:after="100" w:afterAutospacing="1"/>
    </w:pPr>
    <w:rPr>
      <w:color w:val="000000"/>
    </w:rPr>
  </w:style>
  <w:style w:type="table" w:styleId="TableGrid">
    <w:name w:val="Table Grid"/>
    <w:basedOn w:val="TableNormal"/>
    <w:uiPriority w:val="99"/>
    <w:rsid w:val="00B641B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A6736"/>
    <w:rPr>
      <w:rFonts w:cs="Times New Roman"/>
      <w:color w:val="0000FF"/>
      <w:u w:val="single"/>
    </w:rPr>
  </w:style>
  <w:style w:type="character" w:styleId="PageNumber">
    <w:name w:val="page number"/>
    <w:basedOn w:val="DefaultParagraphFont"/>
    <w:uiPriority w:val="99"/>
    <w:rsid w:val="00FD314D"/>
    <w:rPr>
      <w:rFonts w:cs="Times New Roman"/>
    </w:rPr>
  </w:style>
  <w:style w:type="table" w:customStyle="1" w:styleId="TableGrid1">
    <w:name w:val="Table Grid1"/>
    <w:uiPriority w:val="99"/>
    <w:rsid w:val="00AD240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83825">
      <w:marLeft w:val="0"/>
      <w:marRight w:val="0"/>
      <w:marTop w:val="0"/>
      <w:marBottom w:val="0"/>
      <w:divBdr>
        <w:top w:val="none" w:sz="0" w:space="0" w:color="auto"/>
        <w:left w:val="none" w:sz="0" w:space="0" w:color="auto"/>
        <w:bottom w:val="none" w:sz="0" w:space="0" w:color="auto"/>
        <w:right w:val="none" w:sz="0" w:space="0" w:color="auto"/>
      </w:divBdr>
      <w:divsChild>
        <w:div w:id="193883824">
          <w:marLeft w:val="0"/>
          <w:marRight w:val="0"/>
          <w:marTop w:val="0"/>
          <w:marBottom w:val="0"/>
          <w:divBdr>
            <w:top w:val="none" w:sz="0" w:space="0" w:color="auto"/>
            <w:left w:val="none" w:sz="0" w:space="0" w:color="auto"/>
            <w:bottom w:val="none" w:sz="0" w:space="0" w:color="auto"/>
            <w:right w:val="none" w:sz="0" w:space="0" w:color="auto"/>
          </w:divBdr>
          <w:divsChild>
            <w:div w:id="1938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Briefing on what is Telehealth</vt:lpstr>
    </vt:vector>
  </TitlesOfParts>
  <Company>DHA</Company>
  <LinksUpToDate>false</LinksUpToDate>
  <CharactersWithSpaces>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on what is Telehealth</dc:title>
  <dc:creator>whitel</dc:creator>
  <cp:lastModifiedBy>MAGPANTAY, Cynthia</cp:lastModifiedBy>
  <cp:revision>2</cp:revision>
  <cp:lastPrinted>2012-04-30T05:23:00Z</cp:lastPrinted>
  <dcterms:created xsi:type="dcterms:W3CDTF">2017-07-27T23:35:00Z</dcterms:created>
  <dcterms:modified xsi:type="dcterms:W3CDTF">2017-07-27T23:35:00Z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