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82EE" w14:textId="49E9C8E5" w:rsidR="0025423B" w:rsidRPr="003467A4" w:rsidRDefault="00F21D4B" w:rsidP="0025423B">
      <w:pPr>
        <w:pStyle w:val="Heading1"/>
        <w:spacing w:before="120" w:after="120"/>
        <w:rPr>
          <w:color w:val="2F3757" w:themeColor="text2" w:themeShade="BF"/>
          <w:sz w:val="48"/>
          <w:szCs w:val="48"/>
        </w:rPr>
      </w:pPr>
      <w:r>
        <w:rPr>
          <w:color w:val="2F3757" w:themeColor="text2" w:themeShade="BF"/>
          <w:sz w:val="48"/>
          <w:szCs w:val="48"/>
        </w:rPr>
        <w:t>Medicare Compliance and</w:t>
      </w:r>
      <w:r w:rsidR="0025423B" w:rsidRPr="003467A4">
        <w:rPr>
          <w:color w:val="2F3757" w:themeColor="text2" w:themeShade="BF"/>
          <w:sz w:val="48"/>
          <w:szCs w:val="48"/>
        </w:rPr>
        <w:t xml:space="preserve"> Telehealth Services</w:t>
      </w:r>
    </w:p>
    <w:p w14:paraId="6EFD4B5B" w14:textId="2377EEA9" w:rsidR="00064168" w:rsidRPr="00867595" w:rsidRDefault="00064168" w:rsidP="00064168">
      <w:pPr>
        <w:rPr>
          <w:szCs w:val="22"/>
        </w:rPr>
      </w:pPr>
      <w:bookmarkStart w:id="0" w:name="_Hlk4568006"/>
      <w:r w:rsidRPr="00867595">
        <w:rPr>
          <w:szCs w:val="22"/>
        </w:rPr>
        <w:t>Last updated:</w:t>
      </w:r>
      <w:r w:rsidR="0025423B">
        <w:rPr>
          <w:szCs w:val="22"/>
        </w:rPr>
        <w:t xml:space="preserve"> </w:t>
      </w:r>
      <w:r w:rsidR="00092BEC">
        <w:rPr>
          <w:szCs w:val="22"/>
        </w:rPr>
        <w:t>4 October</w:t>
      </w:r>
      <w:r w:rsidR="0025423B">
        <w:rPr>
          <w:szCs w:val="22"/>
        </w:rPr>
        <w:t xml:space="preserve"> 2022</w:t>
      </w:r>
    </w:p>
    <w:bookmarkEnd w:id="0"/>
    <w:p w14:paraId="737AC143" w14:textId="673382B3" w:rsidR="006D2D1B" w:rsidRDefault="0025423B" w:rsidP="0025423B">
      <w:pPr>
        <w:pStyle w:val="ListParagraph"/>
        <w:numPr>
          <w:ilvl w:val="0"/>
          <w:numId w:val="27"/>
        </w:numPr>
        <w:spacing w:before="0" w:after="60" w:line="280" w:lineRule="exact"/>
        <w:contextualSpacing w:val="0"/>
        <w:rPr>
          <w:szCs w:val="22"/>
        </w:rPr>
      </w:pPr>
      <w:r w:rsidRPr="0025423B">
        <w:rPr>
          <w:szCs w:val="22"/>
        </w:rPr>
        <w:t xml:space="preserve">MBS telehealth introduced on a temporary basis in response to the COVID-19 pandemic have now been made permanent. Telehealth services provided by GPs, </w:t>
      </w:r>
      <w:r w:rsidR="00642AFE">
        <w:rPr>
          <w:szCs w:val="22"/>
        </w:rPr>
        <w:t xml:space="preserve">consultant physicians, </w:t>
      </w:r>
      <w:r w:rsidR="00F21D4B">
        <w:rPr>
          <w:szCs w:val="22"/>
        </w:rPr>
        <w:t xml:space="preserve">other </w:t>
      </w:r>
      <w:r w:rsidRPr="0025423B">
        <w:rPr>
          <w:szCs w:val="22"/>
        </w:rPr>
        <w:t>medical practitioners</w:t>
      </w:r>
      <w:r w:rsidR="00F21D4B">
        <w:rPr>
          <w:szCs w:val="22"/>
        </w:rPr>
        <w:t xml:space="preserve"> (OMPs)</w:t>
      </w:r>
      <w:r w:rsidRPr="0025423B">
        <w:rPr>
          <w:szCs w:val="22"/>
        </w:rPr>
        <w:t>, nurse practitioners, participating midwives, allied health providers and dental practitioners in the practice of oral and maxillofacial surgery services will continue</w:t>
      </w:r>
      <w:r w:rsidR="006D2D1B">
        <w:rPr>
          <w:szCs w:val="22"/>
        </w:rPr>
        <w:t>.</w:t>
      </w:r>
    </w:p>
    <w:p w14:paraId="54EE9178" w14:textId="1257D32A" w:rsidR="0025423B" w:rsidRPr="0025423B" w:rsidRDefault="0025423B" w:rsidP="0025423B">
      <w:pPr>
        <w:pStyle w:val="ListParagraph"/>
        <w:numPr>
          <w:ilvl w:val="0"/>
          <w:numId w:val="27"/>
        </w:numPr>
        <w:spacing w:before="0" w:after="60" w:line="280" w:lineRule="exact"/>
        <w:contextualSpacing w:val="0"/>
        <w:rPr>
          <w:szCs w:val="22"/>
        </w:rPr>
      </w:pPr>
      <w:r w:rsidRPr="0025423B">
        <w:rPr>
          <w:szCs w:val="22"/>
        </w:rPr>
        <w:t>A list of MBS telehealth services is</w:t>
      </w:r>
      <w:r w:rsidR="006B3A51">
        <w:rPr>
          <w:szCs w:val="22"/>
        </w:rPr>
        <w:t xml:space="preserve"> provided in the </w:t>
      </w:r>
      <w:hyperlink r:id="rId7" w:history="1">
        <w:r w:rsidR="006B3A51" w:rsidRPr="006B3A51">
          <w:rPr>
            <w:rStyle w:val="Hyperlink"/>
            <w:szCs w:val="22"/>
          </w:rPr>
          <w:t>1 July 2022 Factsheet</w:t>
        </w:r>
      </w:hyperlink>
      <w:r w:rsidR="00EC4277" w:rsidRPr="00EC4277">
        <w:rPr>
          <w:rStyle w:val="Hyperlink"/>
        </w:rPr>
        <w:t>s</w:t>
      </w:r>
      <w:r w:rsidRPr="0025423B">
        <w:rPr>
          <w:szCs w:val="22"/>
        </w:rPr>
        <w:t>.</w:t>
      </w:r>
    </w:p>
    <w:p w14:paraId="44460BF5" w14:textId="77777777" w:rsidR="00064168" w:rsidRPr="00867595" w:rsidRDefault="00064168" w:rsidP="00064168">
      <w:pPr>
        <w:pStyle w:val="Heading2"/>
      </w:pPr>
      <w:r w:rsidRPr="00867595">
        <w:t>What are the changes?</w:t>
      </w:r>
    </w:p>
    <w:p w14:paraId="670EF37D" w14:textId="7189552B" w:rsidR="0025423B" w:rsidRPr="0025423B" w:rsidRDefault="0025423B" w:rsidP="006D2D1B">
      <w:pPr>
        <w:pStyle w:val="ListParagraph"/>
        <w:numPr>
          <w:ilvl w:val="0"/>
          <w:numId w:val="27"/>
        </w:numPr>
        <w:spacing w:before="0" w:after="60" w:line="280" w:lineRule="exact"/>
        <w:contextualSpacing w:val="0"/>
        <w:rPr>
          <w:szCs w:val="22"/>
        </w:rPr>
      </w:pPr>
      <w:r w:rsidRPr="0025423B">
        <w:rPr>
          <w:szCs w:val="22"/>
        </w:rPr>
        <w:t xml:space="preserve">From 1 October 2022, </w:t>
      </w:r>
      <w:r w:rsidR="00F21D4B">
        <w:rPr>
          <w:szCs w:val="22"/>
        </w:rPr>
        <w:t>a new</w:t>
      </w:r>
      <w:r w:rsidRPr="0025423B">
        <w:rPr>
          <w:szCs w:val="22"/>
        </w:rPr>
        <w:t xml:space="preserve"> prescribed pattern of service (30/20 rule) for telehealth phone consultations will commence. Under these new arrangements, a GP </w:t>
      </w:r>
      <w:r w:rsidR="00642AFE">
        <w:rPr>
          <w:szCs w:val="22"/>
        </w:rPr>
        <w:t xml:space="preserve">consultant physician </w:t>
      </w:r>
      <w:r w:rsidRPr="0025423B">
        <w:rPr>
          <w:szCs w:val="22"/>
        </w:rPr>
        <w:t>or OMP who provides 30 or more phone attendances on each of 20 or more days in a 12-month period would be referred to the Professional Services Review (PSR).</w:t>
      </w:r>
    </w:p>
    <w:p w14:paraId="51F1B965" w14:textId="62F512B7" w:rsidR="006D2D1B" w:rsidRPr="0025423B" w:rsidRDefault="00F21D4B" w:rsidP="006D2D1B">
      <w:pPr>
        <w:pStyle w:val="ListParagraph"/>
        <w:numPr>
          <w:ilvl w:val="0"/>
          <w:numId w:val="27"/>
        </w:numPr>
        <w:spacing w:before="0" w:after="60" w:line="280" w:lineRule="exact"/>
        <w:contextualSpacing w:val="0"/>
        <w:rPr>
          <w:szCs w:val="22"/>
        </w:rPr>
      </w:pPr>
      <w:r>
        <w:rPr>
          <w:szCs w:val="22"/>
        </w:rPr>
        <w:t xml:space="preserve">This supplements the inclusion of </w:t>
      </w:r>
      <w:r w:rsidR="006D2D1B" w:rsidRPr="0025423B">
        <w:rPr>
          <w:szCs w:val="22"/>
        </w:rPr>
        <w:t>telehealth (video and phone) in the prescribed pattern of services (‘80/20 rule)</w:t>
      </w:r>
      <w:r>
        <w:rPr>
          <w:szCs w:val="22"/>
        </w:rPr>
        <w:t xml:space="preserve"> for GP</w:t>
      </w:r>
      <w:r w:rsidR="00C837E6">
        <w:rPr>
          <w:szCs w:val="22"/>
        </w:rPr>
        <w:t xml:space="preserve">s and OMPs from 1 July 2022. </w:t>
      </w:r>
    </w:p>
    <w:p w14:paraId="42BD5171" w14:textId="77777777" w:rsidR="00064168" w:rsidRDefault="00064168" w:rsidP="00064168">
      <w:pPr>
        <w:pStyle w:val="Heading2"/>
      </w:pPr>
      <w:r>
        <w:t>Why are the changes being made?</w:t>
      </w:r>
    </w:p>
    <w:p w14:paraId="4C1DC47B" w14:textId="77777777" w:rsidR="0025423B" w:rsidRPr="004613B7" w:rsidRDefault="0025423B" w:rsidP="004613B7">
      <w:pPr>
        <w:spacing w:before="0" w:after="60" w:line="280" w:lineRule="exact"/>
        <w:rPr>
          <w:szCs w:val="22"/>
        </w:rPr>
      </w:pPr>
      <w:r w:rsidRPr="004613B7">
        <w:rPr>
          <w:szCs w:val="22"/>
        </w:rPr>
        <w:t>From 1 October 2022:</w:t>
      </w:r>
    </w:p>
    <w:p w14:paraId="2D07818B" w14:textId="77777777" w:rsidR="0025423B" w:rsidRPr="0025423B" w:rsidRDefault="0025423B" w:rsidP="0025423B">
      <w:pPr>
        <w:pStyle w:val="ListParagraph"/>
        <w:numPr>
          <w:ilvl w:val="0"/>
          <w:numId w:val="27"/>
        </w:numPr>
        <w:spacing w:before="0" w:after="60" w:line="280" w:lineRule="exact"/>
        <w:contextualSpacing w:val="0"/>
        <w:rPr>
          <w:szCs w:val="22"/>
        </w:rPr>
      </w:pPr>
      <w:r w:rsidRPr="0025423B">
        <w:rPr>
          <w:szCs w:val="22"/>
        </w:rPr>
        <w:t xml:space="preserve">A new prescribed pattern of services will apply to GP, other medical practitioner, and consultant physician MBS telephone services (a new ‘30/20 rule’). </w:t>
      </w:r>
    </w:p>
    <w:p w14:paraId="140189B1" w14:textId="522F34F5" w:rsidR="0025423B" w:rsidRPr="0025423B" w:rsidRDefault="0025423B" w:rsidP="0025423B">
      <w:pPr>
        <w:pStyle w:val="ListParagraph"/>
        <w:numPr>
          <w:ilvl w:val="0"/>
          <w:numId w:val="27"/>
        </w:numPr>
        <w:spacing w:before="0" w:after="60" w:line="280" w:lineRule="exact"/>
        <w:contextualSpacing w:val="0"/>
        <w:rPr>
          <w:szCs w:val="22"/>
        </w:rPr>
      </w:pPr>
      <w:r w:rsidRPr="0025423B">
        <w:rPr>
          <w:szCs w:val="22"/>
        </w:rPr>
        <w:t xml:space="preserve">This rule means that for services provided from 1 October 2022, if a practitioner provides 30 or more relevant phone consultations on 20 or more days in a 12-month period, under section 86 of the </w:t>
      </w:r>
      <w:hyperlink r:id="rId8" w:history="1">
        <w:r w:rsidRPr="00022269">
          <w:rPr>
            <w:rStyle w:val="Hyperlink"/>
            <w:i/>
            <w:iCs/>
            <w:szCs w:val="22"/>
          </w:rPr>
          <w:t>Health Insurance Act 1973</w:t>
        </w:r>
      </w:hyperlink>
      <w:r w:rsidRPr="0025423B">
        <w:rPr>
          <w:szCs w:val="22"/>
        </w:rPr>
        <w:t xml:space="preserve"> they are required to be referred directly to the Director of the PSR.</w:t>
      </w:r>
    </w:p>
    <w:p w14:paraId="1A0BF6C3" w14:textId="77777777" w:rsidR="0025423B" w:rsidRPr="0025423B" w:rsidRDefault="0025423B" w:rsidP="0025423B">
      <w:pPr>
        <w:pStyle w:val="ListParagraph"/>
        <w:numPr>
          <w:ilvl w:val="0"/>
          <w:numId w:val="27"/>
        </w:numPr>
        <w:spacing w:before="0" w:after="60" w:line="280" w:lineRule="exact"/>
        <w:contextualSpacing w:val="0"/>
        <w:rPr>
          <w:szCs w:val="22"/>
        </w:rPr>
      </w:pPr>
      <w:r w:rsidRPr="0025423B">
        <w:rPr>
          <w:szCs w:val="22"/>
        </w:rPr>
        <w:t>For consultant physicians this will apply to services provided under MBS item 91836.</w:t>
      </w:r>
    </w:p>
    <w:p w14:paraId="580657CD" w14:textId="77777777" w:rsidR="0025423B" w:rsidRPr="0025423B" w:rsidRDefault="0025423B" w:rsidP="0025423B">
      <w:pPr>
        <w:pStyle w:val="ListParagraph"/>
        <w:numPr>
          <w:ilvl w:val="0"/>
          <w:numId w:val="27"/>
        </w:numPr>
        <w:spacing w:before="0" w:after="60" w:line="280" w:lineRule="exact"/>
        <w:contextualSpacing w:val="0"/>
        <w:rPr>
          <w:szCs w:val="22"/>
        </w:rPr>
      </w:pPr>
      <w:r w:rsidRPr="0025423B">
        <w:rPr>
          <w:szCs w:val="22"/>
        </w:rPr>
        <w:t>Practitioners will be found to have engaged in inappropriate practice unless prescribed exceptional circumstances existed which affected the provision of these services.</w:t>
      </w:r>
    </w:p>
    <w:p w14:paraId="06633FD3" w14:textId="3E3FC02E" w:rsidR="0025423B" w:rsidRPr="0025423B" w:rsidRDefault="0025423B" w:rsidP="0025423B">
      <w:pPr>
        <w:pStyle w:val="ListParagraph"/>
        <w:numPr>
          <w:ilvl w:val="0"/>
          <w:numId w:val="27"/>
        </w:numPr>
        <w:spacing w:before="0" w:after="60" w:line="280" w:lineRule="exact"/>
        <w:contextualSpacing w:val="0"/>
        <w:rPr>
          <w:szCs w:val="22"/>
        </w:rPr>
      </w:pPr>
      <w:r w:rsidRPr="0025423B">
        <w:rPr>
          <w:szCs w:val="22"/>
        </w:rPr>
        <w:t xml:space="preserve">The </w:t>
      </w:r>
      <w:hyperlink r:id="rId9" w:history="1">
        <w:r w:rsidRPr="00022269">
          <w:rPr>
            <w:rStyle w:val="Hyperlink"/>
            <w:i/>
            <w:iCs/>
            <w:szCs w:val="22"/>
          </w:rPr>
          <w:t>Health Insurance (Professional Services Review Scheme) Regulations 2019</w:t>
        </w:r>
      </w:hyperlink>
      <w:r w:rsidRPr="0025423B">
        <w:rPr>
          <w:szCs w:val="22"/>
        </w:rPr>
        <w:t xml:space="preserve"> define exceptional circumstances as:</w:t>
      </w:r>
    </w:p>
    <w:p w14:paraId="289427CB" w14:textId="77777777" w:rsidR="0025423B" w:rsidRPr="0025423B" w:rsidRDefault="0025423B" w:rsidP="0025423B">
      <w:pPr>
        <w:pStyle w:val="ListParagraph"/>
        <w:spacing w:before="0" w:line="280" w:lineRule="exact"/>
        <w:ind w:left="426"/>
        <w:contextualSpacing w:val="0"/>
        <w:rPr>
          <w:rFonts w:cs="Arial"/>
          <w:color w:val="auto"/>
          <w:szCs w:val="22"/>
        </w:rPr>
      </w:pPr>
      <w:r w:rsidRPr="0025423B">
        <w:rPr>
          <w:rFonts w:cs="Arial"/>
          <w:color w:val="auto"/>
          <w:szCs w:val="22"/>
        </w:rPr>
        <w:t>(a)  an unusual occurrence causing an unusual level of need for relevant services on the day</w:t>
      </w:r>
    </w:p>
    <w:p w14:paraId="56C75BAE" w14:textId="77777777" w:rsidR="0025423B" w:rsidRPr="0025423B" w:rsidRDefault="0025423B" w:rsidP="0025423B">
      <w:pPr>
        <w:pStyle w:val="ListParagraph"/>
        <w:spacing w:before="0" w:line="280" w:lineRule="exact"/>
        <w:ind w:left="426"/>
        <w:contextualSpacing w:val="0"/>
        <w:rPr>
          <w:rFonts w:cs="Arial"/>
          <w:color w:val="auto"/>
          <w:szCs w:val="22"/>
        </w:rPr>
      </w:pPr>
      <w:r w:rsidRPr="0025423B">
        <w:rPr>
          <w:rFonts w:cs="Arial"/>
          <w:color w:val="auto"/>
          <w:szCs w:val="22"/>
        </w:rPr>
        <w:t>(b)  an absence, on the day, of other medical services for the practitioner’s patients, having regard to:</w:t>
      </w:r>
    </w:p>
    <w:p w14:paraId="3915003F" w14:textId="77777777" w:rsidR="0025423B" w:rsidRPr="0025423B" w:rsidRDefault="0025423B" w:rsidP="0025423B">
      <w:pPr>
        <w:pStyle w:val="ListParagraph"/>
        <w:numPr>
          <w:ilvl w:val="0"/>
          <w:numId w:val="28"/>
        </w:numPr>
        <w:spacing w:before="0" w:line="280" w:lineRule="exact"/>
        <w:contextualSpacing w:val="0"/>
        <w:rPr>
          <w:rFonts w:cs="Arial"/>
          <w:color w:val="auto"/>
          <w:szCs w:val="22"/>
        </w:rPr>
      </w:pPr>
      <w:r w:rsidRPr="0025423B">
        <w:rPr>
          <w:rFonts w:cs="Arial"/>
          <w:color w:val="auto"/>
          <w:szCs w:val="22"/>
        </w:rPr>
        <w:t>the location of the practitioner’s practice; and</w:t>
      </w:r>
    </w:p>
    <w:p w14:paraId="75B74926" w14:textId="77777777" w:rsidR="0025423B" w:rsidRPr="0025423B" w:rsidRDefault="0025423B" w:rsidP="0025423B">
      <w:pPr>
        <w:pStyle w:val="ListParagraph"/>
        <w:numPr>
          <w:ilvl w:val="0"/>
          <w:numId w:val="28"/>
        </w:numPr>
        <w:spacing w:before="0" w:line="280" w:lineRule="exact"/>
        <w:contextualSpacing w:val="0"/>
        <w:rPr>
          <w:rFonts w:cs="Arial"/>
          <w:color w:val="auto"/>
          <w:szCs w:val="22"/>
        </w:rPr>
      </w:pPr>
      <w:r w:rsidRPr="0025423B">
        <w:rPr>
          <w:rFonts w:cs="Arial"/>
          <w:color w:val="auto"/>
          <w:szCs w:val="22"/>
        </w:rPr>
        <w:t>the characteristics of the practitioner’s patients.</w:t>
      </w:r>
    </w:p>
    <w:p w14:paraId="137E35F6" w14:textId="12B6AA88" w:rsidR="0025423B" w:rsidRPr="0025423B" w:rsidRDefault="0025423B" w:rsidP="0025423B">
      <w:pPr>
        <w:pStyle w:val="ListParagraph"/>
        <w:numPr>
          <w:ilvl w:val="0"/>
          <w:numId w:val="27"/>
        </w:numPr>
        <w:spacing w:before="0" w:after="60" w:line="280" w:lineRule="exact"/>
        <w:contextualSpacing w:val="0"/>
        <w:rPr>
          <w:szCs w:val="22"/>
        </w:rPr>
      </w:pPr>
      <w:r w:rsidRPr="0025423B">
        <w:rPr>
          <w:szCs w:val="22"/>
        </w:rPr>
        <w:lastRenderedPageBreak/>
        <w:t xml:space="preserve">Further details about this change </w:t>
      </w:r>
      <w:r w:rsidR="005F6A9A">
        <w:rPr>
          <w:szCs w:val="22"/>
        </w:rPr>
        <w:t>are</w:t>
      </w:r>
      <w:r w:rsidRPr="0025423B">
        <w:rPr>
          <w:szCs w:val="22"/>
        </w:rPr>
        <w:t xml:space="preserve"> published on the Department of Health and Aged Care’s </w:t>
      </w:r>
      <w:hyperlink r:id="rId10" w:history="1">
        <w:r w:rsidRPr="005260E8">
          <w:rPr>
            <w:rStyle w:val="Hyperlink"/>
            <w:szCs w:val="22"/>
          </w:rPr>
          <w:t>we</w:t>
        </w:r>
        <w:r w:rsidRPr="005260E8">
          <w:rPr>
            <w:rStyle w:val="Hyperlink"/>
            <w:szCs w:val="22"/>
          </w:rPr>
          <w:t>bsite</w:t>
        </w:r>
      </w:hyperlink>
      <w:r w:rsidRPr="00E71388">
        <w:rPr>
          <w:szCs w:val="22"/>
        </w:rPr>
        <w:t>.</w:t>
      </w:r>
      <w:r w:rsidRPr="0025423B">
        <w:rPr>
          <w:szCs w:val="22"/>
        </w:rPr>
        <w:t xml:space="preserve"> </w:t>
      </w:r>
    </w:p>
    <w:p w14:paraId="4B2559AC" w14:textId="2D72B58A" w:rsidR="00064168" w:rsidRDefault="00064168" w:rsidP="00064168">
      <w:pPr>
        <w:pStyle w:val="Heading2"/>
      </w:pPr>
      <w:r>
        <w:t>What does this mean for providers</w:t>
      </w:r>
      <w:r w:rsidR="0025423B">
        <w:t>?</w:t>
      </w:r>
    </w:p>
    <w:p w14:paraId="2DD026F4" w14:textId="4773551B" w:rsidR="006D2D1B" w:rsidRPr="0025423B" w:rsidRDefault="006D2D1B" w:rsidP="006D2D1B">
      <w:pPr>
        <w:rPr>
          <w:szCs w:val="22"/>
        </w:rPr>
      </w:pPr>
      <w:r w:rsidRPr="0025423B">
        <w:rPr>
          <w:szCs w:val="22"/>
        </w:rPr>
        <w:t>From 1 October 2022 the 30/20 rule for telephone consultations will apply. Any GP</w:t>
      </w:r>
      <w:r w:rsidR="00C837E6">
        <w:rPr>
          <w:szCs w:val="22"/>
        </w:rPr>
        <w:t>, OMP,</w:t>
      </w:r>
      <w:r w:rsidRPr="0025423B">
        <w:rPr>
          <w:szCs w:val="22"/>
        </w:rPr>
        <w:t xml:space="preserve"> or consultant physician who provides 30 or more telephone consultations per day on 20 or more days in a 12-month period would be referred to the PSR for peer-review of their telehealth practice.  </w:t>
      </w:r>
    </w:p>
    <w:p w14:paraId="42DB433F" w14:textId="22F709D9" w:rsidR="0025423B" w:rsidRPr="0025423B" w:rsidRDefault="0025423B" w:rsidP="0025423B">
      <w:pPr>
        <w:rPr>
          <w:szCs w:val="22"/>
        </w:rPr>
      </w:pPr>
      <w:r w:rsidRPr="0025423B">
        <w:rPr>
          <w:szCs w:val="22"/>
        </w:rPr>
        <w:t xml:space="preserve">To further support the integrity of the Medicare program the existing prescribed pattern of practice (80/20 rule) </w:t>
      </w:r>
      <w:r w:rsidR="00C837E6">
        <w:rPr>
          <w:szCs w:val="22"/>
        </w:rPr>
        <w:t>i</w:t>
      </w:r>
      <w:r w:rsidRPr="0025423B">
        <w:rPr>
          <w:szCs w:val="22"/>
        </w:rPr>
        <w:t>nclude</w:t>
      </w:r>
      <w:r w:rsidR="00C837E6">
        <w:rPr>
          <w:szCs w:val="22"/>
        </w:rPr>
        <w:t>s</w:t>
      </w:r>
      <w:r w:rsidRPr="0025423B">
        <w:rPr>
          <w:szCs w:val="22"/>
        </w:rPr>
        <w:t xml:space="preserve"> GP face-to-face, video and telephone consultations, excluding vaccine suitability assessments. This rule came into effect from 1 July 2022. Any GP who provides more than a combined 80 services per day on 20 or more days in a 12-month period will be referred to the Professional Services Review (PSR). </w:t>
      </w:r>
    </w:p>
    <w:p w14:paraId="7F7DA4F7" w14:textId="77777777" w:rsidR="00064168" w:rsidRDefault="00064168" w:rsidP="00064168">
      <w:pPr>
        <w:pStyle w:val="Heading2"/>
      </w:pPr>
      <w:r>
        <w:t>How will these changes affect patients</w:t>
      </w:r>
      <w:r w:rsidRPr="001A7FB7">
        <w:t>?</w:t>
      </w:r>
    </w:p>
    <w:p w14:paraId="3BD73432" w14:textId="725AFBF4" w:rsidR="0025423B" w:rsidRPr="00C837E6" w:rsidRDefault="0025423B" w:rsidP="0025423B">
      <w:pPr>
        <w:rPr>
          <w:szCs w:val="22"/>
        </w:rPr>
      </w:pPr>
      <w:r w:rsidRPr="00C837E6">
        <w:rPr>
          <w:szCs w:val="22"/>
        </w:rPr>
        <w:t>Patients will continue to have access to MBS telehealth services</w:t>
      </w:r>
      <w:r w:rsidR="00C837E6" w:rsidRPr="00C837E6">
        <w:rPr>
          <w:szCs w:val="22"/>
        </w:rPr>
        <w:t>.  Changes to Medicare compliance for telehealth services do not impact patient eligibility requirements</w:t>
      </w:r>
      <w:r w:rsidRPr="00C837E6">
        <w:rPr>
          <w:szCs w:val="22"/>
        </w:rPr>
        <w:t xml:space="preserve">. </w:t>
      </w:r>
    </w:p>
    <w:p w14:paraId="5BD9BE80" w14:textId="77777777" w:rsidR="00064168" w:rsidRDefault="00064168" w:rsidP="00064168">
      <w:pPr>
        <w:pStyle w:val="Heading2"/>
      </w:pPr>
      <w:r w:rsidRPr="001A7FB7">
        <w:t>Who was consulted on the changes?</w:t>
      </w:r>
    </w:p>
    <w:p w14:paraId="007E9CFC" w14:textId="69ACD82B" w:rsidR="0025423B" w:rsidRPr="0025423B" w:rsidRDefault="0025423B" w:rsidP="00C837E6">
      <w:pPr>
        <w:rPr>
          <w:szCs w:val="22"/>
        </w:rPr>
      </w:pPr>
      <w:r w:rsidRPr="0025423B">
        <w:rPr>
          <w:szCs w:val="22"/>
        </w:rPr>
        <w:t xml:space="preserve">Consultation with stakeholders has informed the introduction and refinement of MBS telehealth items. The transition to permanent arrangements has also been informed by medical experts and key stakeholders within the health sector.  </w:t>
      </w:r>
    </w:p>
    <w:p w14:paraId="32E82B19" w14:textId="77777777" w:rsidR="00064168" w:rsidRDefault="00064168" w:rsidP="00064168">
      <w:pPr>
        <w:pStyle w:val="Heading2"/>
      </w:pPr>
      <w:r w:rsidRPr="001A7FB7">
        <w:t>How will the changes be monitored</w:t>
      </w:r>
      <w:r>
        <w:t xml:space="preserve"> and reviewed</w:t>
      </w:r>
      <w:r w:rsidRPr="001A7FB7">
        <w:t>?</w:t>
      </w:r>
    </w:p>
    <w:p w14:paraId="59C50D78" w14:textId="4EF0C8A1" w:rsidR="0025423B" w:rsidRPr="00C837E6" w:rsidRDefault="0025423B" w:rsidP="00C837E6">
      <w:pPr>
        <w:rPr>
          <w:szCs w:val="22"/>
        </w:rPr>
      </w:pPr>
      <w:r w:rsidRPr="0025423B">
        <w:rPr>
          <w:szCs w:val="22"/>
        </w:rPr>
        <w:t xml:space="preserve">The Department of Health </w:t>
      </w:r>
      <w:r w:rsidR="00D82EA3">
        <w:rPr>
          <w:szCs w:val="22"/>
        </w:rPr>
        <w:t xml:space="preserve">and Aged Care </w:t>
      </w:r>
      <w:r w:rsidRPr="0025423B">
        <w:rPr>
          <w:szCs w:val="22"/>
        </w:rPr>
        <w:t>continues to monitor the use of the new MBS items. Use of the items that does not seem to be in accordance with Medicare guidelines and legislation will be actioned appropriately.</w:t>
      </w:r>
    </w:p>
    <w:p w14:paraId="3C63E237" w14:textId="77777777" w:rsidR="00064168" w:rsidRDefault="00064168" w:rsidP="00064168">
      <w:pPr>
        <w:pStyle w:val="Heading2"/>
      </w:pPr>
      <w:r>
        <w:t>Where can I find more information?</w:t>
      </w:r>
    </w:p>
    <w:p w14:paraId="5EEA2BAC" w14:textId="264AF758" w:rsidR="00064168" w:rsidRPr="00867595" w:rsidRDefault="00064168" w:rsidP="00064168">
      <w:pPr>
        <w:rPr>
          <w:szCs w:val="22"/>
        </w:rPr>
      </w:pPr>
      <w:r w:rsidRPr="00867595">
        <w:rPr>
          <w:szCs w:val="22"/>
        </w:rPr>
        <w:t xml:space="preserve">The full item descriptors and information on </w:t>
      </w:r>
      <w:r w:rsidR="0025423B">
        <w:rPr>
          <w:szCs w:val="22"/>
        </w:rPr>
        <w:t>these</w:t>
      </w:r>
      <w:r w:rsidRPr="00867595">
        <w:rPr>
          <w:szCs w:val="22"/>
        </w:rPr>
        <w:t xml:space="preserve"> changes </w:t>
      </w:r>
      <w:r w:rsidR="0025423B">
        <w:rPr>
          <w:szCs w:val="22"/>
        </w:rPr>
        <w:t>are</w:t>
      </w:r>
      <w:r w:rsidRPr="00867595">
        <w:rPr>
          <w:szCs w:val="22"/>
        </w:rPr>
        <w:t xml:space="preserve"> on the MBS Online website at </w:t>
      </w:r>
      <w:hyperlink r:id="rId11"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2" w:history="1">
        <w:r w:rsidRPr="00867595">
          <w:rPr>
            <w:rStyle w:val="Hyperlink"/>
            <w:szCs w:val="22"/>
          </w:rPr>
          <w:t>MBS Online</w:t>
        </w:r>
      </w:hyperlink>
      <w:r w:rsidRPr="00867595">
        <w:rPr>
          <w:szCs w:val="22"/>
        </w:rPr>
        <w:t xml:space="preserve"> and clicking ‘Subscribe’. </w:t>
      </w:r>
    </w:p>
    <w:p w14:paraId="589A6190" w14:textId="4B574128" w:rsidR="00064168" w:rsidRPr="00867595" w:rsidRDefault="00064168" w:rsidP="00064168">
      <w:pPr>
        <w:rPr>
          <w:szCs w:val="22"/>
        </w:rPr>
      </w:pPr>
      <w:r w:rsidRPr="00867595">
        <w:rPr>
          <w:szCs w:val="22"/>
        </w:rPr>
        <w:t xml:space="preserve">The Department of Health </w:t>
      </w:r>
      <w:r w:rsidR="00D82EA3">
        <w:rPr>
          <w:szCs w:val="22"/>
        </w:rPr>
        <w:t xml:space="preserve">and Aged Care </w:t>
      </w:r>
      <w:r w:rsidRPr="00867595">
        <w:rPr>
          <w:szCs w:val="22"/>
        </w:rPr>
        <w:t xml:space="preserve">provides an email advice service for providers seeking advice on interpretation of the MBS items and rules and the Health Insurance Act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6645C3CB" w14:textId="1552280E" w:rsidR="00E77A16" w:rsidRPr="00E77A16" w:rsidRDefault="00E77A16" w:rsidP="00E77A16">
      <w:pPr>
        <w:shd w:val="clear" w:color="auto" w:fill="FFFFFF"/>
        <w:spacing w:line="240" w:lineRule="auto"/>
        <w:rPr>
          <w:rFonts w:eastAsiaTheme="minorHAnsi" w:cs="Arial"/>
          <w:color w:val="auto"/>
          <w:szCs w:val="22"/>
        </w:rPr>
      </w:pPr>
      <w:r w:rsidRPr="00E77A16">
        <w:rPr>
          <w:rFonts w:eastAsiaTheme="minorHAnsi" w:cs="Arial"/>
          <w:color w:val="auto"/>
          <w:szCs w:val="22"/>
        </w:rPr>
        <w:t xml:space="preserve">For questions regarding the PHI classifications, please email </w:t>
      </w:r>
      <w:hyperlink r:id="rId14" w:history="1">
        <w:r w:rsidRPr="00E77A16">
          <w:rPr>
            <w:rStyle w:val="Hyperlink"/>
            <w:rFonts w:eastAsiaTheme="minorHAnsi" w:cs="Arial"/>
            <w:szCs w:val="22"/>
          </w:rPr>
          <w:t>mailto:PHI@health.gov.au</w:t>
        </w:r>
      </w:hyperlink>
      <w:r w:rsidRPr="00E77A16">
        <w:rPr>
          <w:rFonts w:eastAsiaTheme="minorHAnsi" w:cs="Arial"/>
          <w:color w:val="auto"/>
          <w:szCs w:val="22"/>
        </w:rPr>
        <w:t>.</w:t>
      </w:r>
    </w:p>
    <w:p w14:paraId="359DC9B9" w14:textId="6681095D"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7777777" w:rsidR="00064168" w:rsidRPr="00867595"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1" w:name="_Hlk7773414"/>
      <w:r w:rsidRPr="00867595">
        <w:rPr>
          <w:szCs w:val="22"/>
        </w:rPr>
        <w:t xml:space="preserve">go to the Health Professionals page on the Services Australia website or </w:t>
      </w:r>
      <w:bookmarkEnd w:id="1"/>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6" w:history="1">
        <w:r w:rsidRPr="00867595">
          <w:rPr>
            <w:rStyle w:val="Hyperlink"/>
            <w:szCs w:val="22"/>
          </w:rPr>
          <w:t>Downloads</w:t>
        </w:r>
      </w:hyperlink>
      <w:r w:rsidRPr="00867595">
        <w:rPr>
          <w:szCs w:val="22"/>
        </w:rPr>
        <w:t xml:space="preserve"> page.</w:t>
      </w:r>
    </w:p>
    <w:p w14:paraId="36BCDE18" w14:textId="77777777" w:rsidR="00064168" w:rsidRDefault="00064168" w:rsidP="00064168"/>
    <w:p w14:paraId="06A10498" w14:textId="77777777" w:rsidR="00064168" w:rsidRDefault="00064168" w:rsidP="00064168">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A39EA1F" w14:textId="6D9B5C68" w:rsidR="00064168" w:rsidRPr="0029176A" w:rsidRDefault="00064168" w:rsidP="00064168">
      <w:pPr>
        <w:pStyle w:val="Disclaimer"/>
      </w:pPr>
      <w:r w:rsidRPr="0029176A">
        <w:t xml:space="preserve">This sheet is current as of the </w:t>
      </w:r>
      <w:r>
        <w:t>L</w:t>
      </w:r>
      <w:r w:rsidRPr="0029176A">
        <w:t>ast updated date</w:t>
      </w:r>
      <w:r>
        <w:t xml:space="preserve"> shown </w:t>
      </w:r>
      <w:r w:rsidR="006F49CF">
        <w:t>above</w:t>
      </w:r>
      <w:r w:rsidR="006F49CF" w:rsidRPr="0029176A">
        <w:t xml:space="preserve"> and</w:t>
      </w:r>
      <w:r w:rsidRPr="0029176A">
        <w:t xml:space="preserve"> does not account for MBS changes</w:t>
      </w:r>
      <w:r>
        <w:t xml:space="preserve"> since that date</w:t>
      </w:r>
      <w:r w:rsidRPr="0029176A">
        <w:t>.</w:t>
      </w:r>
    </w:p>
    <w:p w14:paraId="4AD79C39" w14:textId="77777777" w:rsidR="00064168" w:rsidRPr="009040E9" w:rsidRDefault="00064168" w:rsidP="00064168">
      <w:pPr>
        <w:pStyle w:val="Tabletextleft"/>
      </w:pPr>
    </w:p>
    <w:p w14:paraId="3BE96EC7" w14:textId="663FE2F6" w:rsidR="004613B7" w:rsidRDefault="004613B7">
      <w:pPr>
        <w:spacing w:before="0" w:after="0" w:line="240" w:lineRule="auto"/>
        <w:rPr>
          <w:sz w:val="21"/>
        </w:rPr>
      </w:pPr>
    </w:p>
    <w:sectPr w:rsidR="004613B7"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9A8B" w14:textId="77777777" w:rsidR="00ED2E38" w:rsidRDefault="00ED2E38" w:rsidP="006B56BB">
      <w:r>
        <w:separator/>
      </w:r>
    </w:p>
    <w:p w14:paraId="311A8DE7" w14:textId="77777777" w:rsidR="00ED2E38" w:rsidRDefault="00ED2E38"/>
  </w:endnote>
  <w:endnote w:type="continuationSeparator" w:id="0">
    <w:p w14:paraId="629C2D4B" w14:textId="77777777" w:rsidR="00ED2E38" w:rsidRDefault="00ED2E38" w:rsidP="006B56BB">
      <w:r>
        <w:continuationSeparator/>
      </w:r>
    </w:p>
    <w:p w14:paraId="1C827B67" w14:textId="77777777" w:rsidR="00ED2E38" w:rsidRDefault="00ED2E38"/>
  </w:endnote>
  <w:endnote w:type="continuationNotice" w:id="1">
    <w:p w14:paraId="1EF141A4" w14:textId="77777777" w:rsidR="00ED2E38" w:rsidRDefault="00ED2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1F74C5"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857439C" w:rsidR="00F51321" w:rsidRDefault="004613B7" w:rsidP="00F51321">
    <w:pPr>
      <w:pStyle w:val="Footer"/>
      <w:tabs>
        <w:tab w:val="clear" w:pos="9026"/>
        <w:tab w:val="right" w:pos="10466"/>
      </w:tabs>
    </w:pPr>
    <w:r>
      <w:rPr>
        <w:b/>
      </w:rPr>
      <w:t>MBS Telehealth Services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1F74C5" w:rsidP="00F51321">
    <w:pPr>
      <w:pStyle w:val="Footer"/>
      <w:jc w:val="left"/>
      <w:rPr>
        <w:rStyle w:val="Hyperlink"/>
        <w:szCs w:val="18"/>
      </w:rPr>
    </w:pPr>
    <w:hyperlink r:id="rId1" w:history="1">
      <w:r w:rsidR="00F51321" w:rsidRPr="00E863C4">
        <w:rPr>
          <w:rStyle w:val="Hyperlink"/>
          <w:szCs w:val="18"/>
        </w:rPr>
        <w:t>MBS Online</w:t>
      </w:r>
    </w:hyperlink>
  </w:p>
  <w:p w14:paraId="0D093570" w14:textId="18580346" w:rsidR="00F51321" w:rsidRPr="009B32BA" w:rsidRDefault="00F51321" w:rsidP="00F51321">
    <w:pPr>
      <w:pStyle w:val="Footer"/>
      <w:jc w:val="left"/>
      <w:rPr>
        <w:szCs w:val="18"/>
      </w:rPr>
    </w:pPr>
    <w:r w:rsidRPr="00870B05">
      <w:t>Last updated</w:t>
    </w:r>
    <w:r>
      <w:t xml:space="preserve"> – </w:t>
    </w:r>
    <w:r w:rsidR="001F74C5">
      <w:t>4 October</w:t>
    </w:r>
    <w:r w:rsidR="004613B7">
      <w:t xml:space="preserve"> 2022</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1F74C5"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7986F95" w:rsidR="00064168" w:rsidRDefault="00642AFE" w:rsidP="00064168">
    <w:pPr>
      <w:pStyle w:val="Footer"/>
      <w:tabs>
        <w:tab w:val="clear" w:pos="9026"/>
        <w:tab w:val="right" w:pos="10466"/>
      </w:tabs>
    </w:pPr>
    <w:r>
      <w:rPr>
        <w:b/>
      </w:rPr>
      <w:t>Medicare compliance and telehealth 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1F74C5" w:rsidP="00064168">
    <w:pPr>
      <w:pStyle w:val="Footer"/>
      <w:jc w:val="left"/>
      <w:rPr>
        <w:rStyle w:val="Hyperlink"/>
        <w:szCs w:val="18"/>
      </w:rPr>
    </w:pPr>
    <w:hyperlink r:id="rId1" w:history="1">
      <w:r w:rsidR="00064168" w:rsidRPr="00E863C4">
        <w:rPr>
          <w:rStyle w:val="Hyperlink"/>
          <w:szCs w:val="18"/>
        </w:rPr>
        <w:t>MBS Online</w:t>
      </w:r>
    </w:hyperlink>
  </w:p>
  <w:p w14:paraId="03585E81" w14:textId="33121D44" w:rsidR="00064168" w:rsidRPr="009B32BA" w:rsidRDefault="00064168" w:rsidP="00064168">
    <w:pPr>
      <w:pStyle w:val="Footer"/>
      <w:jc w:val="left"/>
      <w:rPr>
        <w:szCs w:val="18"/>
      </w:rPr>
    </w:pPr>
    <w:r w:rsidRPr="00870B05">
      <w:t>Last updated</w:t>
    </w:r>
    <w:r>
      <w:t xml:space="preserve"> – </w:t>
    </w:r>
    <w:r w:rsidR="00092BEC">
      <w:t>4 October</w:t>
    </w:r>
    <w:r w:rsidR="00642AFE">
      <w:t xml:space="preserve"> 2022</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7544" w14:textId="77777777" w:rsidR="00ED2E38" w:rsidRDefault="00ED2E38" w:rsidP="006B56BB">
      <w:r>
        <w:separator/>
      </w:r>
    </w:p>
    <w:p w14:paraId="6D4BA2D8" w14:textId="77777777" w:rsidR="00ED2E38" w:rsidRDefault="00ED2E38"/>
  </w:footnote>
  <w:footnote w:type="continuationSeparator" w:id="0">
    <w:p w14:paraId="376A6015" w14:textId="77777777" w:rsidR="00ED2E38" w:rsidRDefault="00ED2E38" w:rsidP="006B56BB">
      <w:r>
        <w:continuationSeparator/>
      </w:r>
    </w:p>
    <w:p w14:paraId="06F4DC40" w14:textId="77777777" w:rsidR="00ED2E38" w:rsidRDefault="00ED2E38"/>
  </w:footnote>
  <w:footnote w:type="continuationNotice" w:id="1">
    <w:p w14:paraId="21C7D0CC" w14:textId="77777777" w:rsidR="00ED2E38" w:rsidRDefault="00ED2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CB03B8" w:rsidRDefault="00CB0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BF40990"/>
    <w:multiLevelType w:val="hybridMultilevel"/>
    <w:tmpl w:val="071C1AA8"/>
    <w:lvl w:ilvl="0" w:tplc="FE92EEF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3"/>
  </w:num>
  <w:num w:numId="20">
    <w:abstractNumId w:val="10"/>
  </w:num>
  <w:num w:numId="21">
    <w:abstractNumId w:val="13"/>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1433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269"/>
    <w:rsid w:val="00022629"/>
    <w:rsid w:val="00026139"/>
    <w:rsid w:val="00027601"/>
    <w:rsid w:val="00033321"/>
    <w:rsid w:val="000338E5"/>
    <w:rsid w:val="00033ECC"/>
    <w:rsid w:val="0003422F"/>
    <w:rsid w:val="000368B5"/>
    <w:rsid w:val="00046FF0"/>
    <w:rsid w:val="00050176"/>
    <w:rsid w:val="00050342"/>
    <w:rsid w:val="00064168"/>
    <w:rsid w:val="00067456"/>
    <w:rsid w:val="00071506"/>
    <w:rsid w:val="0007154F"/>
    <w:rsid w:val="00081AB1"/>
    <w:rsid w:val="00090316"/>
    <w:rsid w:val="00092BEC"/>
    <w:rsid w:val="00093981"/>
    <w:rsid w:val="000B067A"/>
    <w:rsid w:val="000B1540"/>
    <w:rsid w:val="000B1E53"/>
    <w:rsid w:val="000B33FD"/>
    <w:rsid w:val="000B4ABA"/>
    <w:rsid w:val="000C4B16"/>
    <w:rsid w:val="000C50C3"/>
    <w:rsid w:val="000C5E14"/>
    <w:rsid w:val="000D21F6"/>
    <w:rsid w:val="000D4500"/>
    <w:rsid w:val="000D7AEA"/>
    <w:rsid w:val="000E2C66"/>
    <w:rsid w:val="000E62F8"/>
    <w:rsid w:val="000F123C"/>
    <w:rsid w:val="000F2FED"/>
    <w:rsid w:val="000F7ABF"/>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74C5"/>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423B"/>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13B7"/>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260E8"/>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5F6A9A"/>
    <w:rsid w:val="006041BE"/>
    <w:rsid w:val="006043C7"/>
    <w:rsid w:val="00624B52"/>
    <w:rsid w:val="00630794"/>
    <w:rsid w:val="00631DF4"/>
    <w:rsid w:val="00634175"/>
    <w:rsid w:val="006408AC"/>
    <w:rsid w:val="00642AFE"/>
    <w:rsid w:val="006511B6"/>
    <w:rsid w:val="00657FF8"/>
    <w:rsid w:val="00670D99"/>
    <w:rsid w:val="00670E2B"/>
    <w:rsid w:val="006734BB"/>
    <w:rsid w:val="0067697A"/>
    <w:rsid w:val="006811EE"/>
    <w:rsid w:val="006821EB"/>
    <w:rsid w:val="006B2286"/>
    <w:rsid w:val="006B3A51"/>
    <w:rsid w:val="006B56BB"/>
    <w:rsid w:val="006C77A8"/>
    <w:rsid w:val="006D2D1B"/>
    <w:rsid w:val="006D4098"/>
    <w:rsid w:val="006D7681"/>
    <w:rsid w:val="006D7B2E"/>
    <w:rsid w:val="006E02EA"/>
    <w:rsid w:val="006E0968"/>
    <w:rsid w:val="006E2AF6"/>
    <w:rsid w:val="006F49CF"/>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4799"/>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0BAE"/>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837E6"/>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62509"/>
    <w:rsid w:val="00D70E24"/>
    <w:rsid w:val="00D72B61"/>
    <w:rsid w:val="00D82EA3"/>
    <w:rsid w:val="00D877AB"/>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1388"/>
    <w:rsid w:val="00E72E9B"/>
    <w:rsid w:val="00E77A16"/>
    <w:rsid w:val="00E850C3"/>
    <w:rsid w:val="00E867B8"/>
    <w:rsid w:val="00E87DF2"/>
    <w:rsid w:val="00E9462E"/>
    <w:rsid w:val="00EA470E"/>
    <w:rsid w:val="00EA47A7"/>
    <w:rsid w:val="00EA57EB"/>
    <w:rsid w:val="00EB3226"/>
    <w:rsid w:val="00EC213A"/>
    <w:rsid w:val="00EC4277"/>
    <w:rsid w:val="00EC7744"/>
    <w:rsid w:val="00ED0DAD"/>
    <w:rsid w:val="00ED0F46"/>
    <w:rsid w:val="00ED2373"/>
    <w:rsid w:val="00ED2E38"/>
    <w:rsid w:val="00EE3E8A"/>
    <w:rsid w:val="00EF58B8"/>
    <w:rsid w:val="00EF6ECA"/>
    <w:rsid w:val="00F024E1"/>
    <w:rsid w:val="00F06C10"/>
    <w:rsid w:val="00F1096F"/>
    <w:rsid w:val="00F12589"/>
    <w:rsid w:val="00F12595"/>
    <w:rsid w:val="00F134D9"/>
    <w:rsid w:val="00F1403D"/>
    <w:rsid w:val="00F1463F"/>
    <w:rsid w:val="00F21302"/>
    <w:rsid w:val="00F21D4B"/>
    <w:rsid w:val="00F2430D"/>
    <w:rsid w:val="00F321DE"/>
    <w:rsid w:val="00F33777"/>
    <w:rsid w:val="00F40648"/>
    <w:rsid w:val="00F47DA2"/>
    <w:rsid w:val="00F51321"/>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7178"/>
    <w:rsid w:val="00FF0AB0"/>
    <w:rsid w:val="00FF28AC"/>
    <w:rsid w:val="00FF49F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25423B"/>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25423B"/>
    <w:rPr>
      <w:color w:val="605E5C"/>
      <w:shd w:val="clear" w:color="auto" w:fill="E1DFDD"/>
    </w:rPr>
  </w:style>
  <w:style w:type="paragraph" w:customStyle="1" w:styleId="CABNETParagraph">
    <w:name w:val="CABNET Paragraph."/>
    <w:basedOn w:val="Normal"/>
    <w:link w:val="CABNETParagraphChar"/>
    <w:uiPriority w:val="98"/>
    <w:qFormat/>
    <w:rsid w:val="0025423B"/>
    <w:pPr>
      <w:spacing w:line="240" w:lineRule="auto"/>
    </w:pPr>
    <w:rPr>
      <w:rFonts w:eastAsiaTheme="minorHAnsi" w:cstheme="minorHAnsi"/>
      <w:color w:val="auto"/>
      <w:szCs w:val="22"/>
    </w:rPr>
  </w:style>
  <w:style w:type="character" w:customStyle="1" w:styleId="CABNETParagraphChar">
    <w:name w:val="CABNET Paragraph. Char"/>
    <w:basedOn w:val="DefaultParagraphFont"/>
    <w:link w:val="CABNETParagraph"/>
    <w:uiPriority w:val="98"/>
    <w:rsid w:val="0025423B"/>
    <w:rPr>
      <w:rFonts w:ascii="Arial" w:eastAsiaTheme="minorHAnsi" w:hAnsi="Arial" w:cstheme="minorHAnsi"/>
      <w:sz w:val="22"/>
      <w:szCs w:val="22"/>
      <w:lang w:eastAsia="en-US"/>
    </w:rPr>
  </w:style>
  <w:style w:type="character" w:styleId="FollowedHyperlink">
    <w:name w:val="FollowedHyperlink"/>
    <w:basedOn w:val="DefaultParagraphFont"/>
    <w:semiHidden/>
    <w:unhideWhenUsed/>
    <w:rsid w:val="00B80B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22C00174" TargetMode="External"/><Relationship Id="rId13" Type="http://schemas.openxmlformats.org/officeDocument/2006/relationships/hyperlink" Target="mailto:askMBS@health.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bsonline.gov.au/internet/mbsonline/publishing.nsf/Content/Factsheet-telehealth-1July22" TargetMode="External"/><Relationship Id="rId12" Type="http://schemas.openxmlformats.org/officeDocument/2006/relationships/hyperlink" Target="http://www.mbsonline.gov.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bsonline.gov.au/internet/mbsonline/publishing.nsf/Content/download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https://www.health.gov.au/health-topics/medicare-compliance/medicare-compliance-resourc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egislation.gov.au/Details/F2022C00796" TargetMode="External"/><Relationship Id="rId14" Type="http://schemas.openxmlformats.org/officeDocument/2006/relationships/hyperlink" Target="mailto:PHI@health.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2022-10-04T03:06:00Z</dcterms:created>
  <dcterms:modified xsi:type="dcterms:W3CDTF">2022-10-04T03:12:00Z</dcterms:modified>
</cp:coreProperties>
</file>